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B6F4E" w14:textId="353A7C6B" w:rsidR="00935AD8" w:rsidRDefault="005559B2">
      <w:pPr>
        <w:pStyle w:val="3GPPHeader"/>
        <w:spacing w:after="60"/>
        <w:rPr>
          <w:sz w:val="32"/>
          <w:szCs w:val="32"/>
          <w:highlight w:val="yellow"/>
        </w:rPr>
      </w:pPr>
      <w:bookmarkStart w:id="0" w:name="_Hlk531172508"/>
      <w:r>
        <w:rPr>
          <w:lang w:val="en-US"/>
        </w:rPr>
        <w:t>3GPP TSG-RAN WG2 #108</w:t>
      </w:r>
      <w:r>
        <w:tab/>
      </w:r>
      <w:proofErr w:type="spellStart"/>
      <w:r>
        <w:rPr>
          <w:sz w:val="32"/>
          <w:szCs w:val="32"/>
        </w:rPr>
        <w:t>Tdoc</w:t>
      </w:r>
      <w:proofErr w:type="spellEnd"/>
      <w:r>
        <w:rPr>
          <w:sz w:val="32"/>
          <w:szCs w:val="32"/>
        </w:rPr>
        <w:t xml:space="preserve"> R2-191639</w:t>
      </w:r>
      <w:r w:rsidR="000763AE">
        <w:rPr>
          <w:sz w:val="32"/>
          <w:szCs w:val="32"/>
        </w:rPr>
        <w:t>3</w:t>
      </w:r>
    </w:p>
    <w:bookmarkEnd w:id="0"/>
    <w:p w14:paraId="3A89FE4B" w14:textId="77777777" w:rsidR="00935AD8" w:rsidRDefault="005559B2">
      <w:pPr>
        <w:pStyle w:val="3GPPHeader"/>
        <w:rPr>
          <w:rFonts w:eastAsia="SimSun"/>
          <w:bCs/>
          <w:szCs w:val="24"/>
        </w:rPr>
      </w:pPr>
      <w:proofErr w:type="gramStart"/>
      <w:r>
        <w:rPr>
          <w:rFonts w:eastAsia="SimSun"/>
          <w:bCs/>
          <w:szCs w:val="24"/>
        </w:rPr>
        <w:t>Reno,  USA</w:t>
      </w:r>
      <w:proofErr w:type="gramEnd"/>
      <w:r>
        <w:rPr>
          <w:rFonts w:eastAsia="SimSun"/>
          <w:bCs/>
          <w:szCs w:val="24"/>
        </w:rPr>
        <w:t>, 18 – 22 November 2019</w:t>
      </w:r>
    </w:p>
    <w:p w14:paraId="5AED5FDB" w14:textId="77777777" w:rsidR="00935AD8" w:rsidRDefault="005559B2">
      <w:pPr>
        <w:pStyle w:val="3GPPHeader"/>
        <w:rPr>
          <w:sz w:val="22"/>
          <w:szCs w:val="22"/>
        </w:rPr>
      </w:pPr>
      <w:r>
        <w:rPr>
          <w:sz w:val="22"/>
          <w:szCs w:val="22"/>
        </w:rPr>
        <w:t>Agenda Item:</w:t>
      </w:r>
      <w:r>
        <w:rPr>
          <w:sz w:val="22"/>
          <w:szCs w:val="22"/>
        </w:rPr>
        <w:tab/>
        <w:t>11.6.4.1.1</w:t>
      </w:r>
    </w:p>
    <w:p w14:paraId="5F8341E1" w14:textId="77777777" w:rsidR="00935AD8" w:rsidRDefault="005559B2">
      <w:pPr>
        <w:pStyle w:val="3GPPHeader"/>
        <w:rPr>
          <w:sz w:val="22"/>
          <w:szCs w:val="22"/>
        </w:rPr>
      </w:pPr>
      <w:r>
        <w:rPr>
          <w:sz w:val="22"/>
          <w:szCs w:val="22"/>
        </w:rPr>
        <w:t>Source:</w:t>
      </w:r>
      <w:r>
        <w:rPr>
          <w:sz w:val="22"/>
          <w:szCs w:val="22"/>
        </w:rPr>
        <w:tab/>
        <w:t>Ericsson</w:t>
      </w:r>
    </w:p>
    <w:p w14:paraId="49832F1A" w14:textId="77777777" w:rsidR="00935AD8" w:rsidRDefault="005559B2">
      <w:pPr>
        <w:pStyle w:val="3GPPHeader"/>
        <w:rPr>
          <w:sz w:val="22"/>
          <w:szCs w:val="22"/>
        </w:rPr>
      </w:pPr>
      <w:r>
        <w:rPr>
          <w:sz w:val="22"/>
          <w:szCs w:val="22"/>
        </w:rPr>
        <w:t>Title:</w:t>
      </w:r>
      <w:r>
        <w:rPr>
          <w:sz w:val="22"/>
          <w:szCs w:val="22"/>
        </w:rPr>
        <w:tab/>
        <w:t>CHO for NTN LEO</w:t>
      </w:r>
    </w:p>
    <w:p w14:paraId="48B2D488" w14:textId="77777777" w:rsidR="00935AD8" w:rsidRDefault="005559B2">
      <w:pPr>
        <w:pStyle w:val="3GPPHeader"/>
        <w:rPr>
          <w:sz w:val="22"/>
          <w:szCs w:val="22"/>
        </w:rPr>
      </w:pPr>
      <w:r>
        <w:rPr>
          <w:sz w:val="22"/>
          <w:szCs w:val="22"/>
        </w:rPr>
        <w:t>Document for:</w:t>
      </w:r>
      <w:r>
        <w:rPr>
          <w:sz w:val="22"/>
          <w:szCs w:val="22"/>
        </w:rPr>
        <w:tab/>
        <w:t>Discussion, Decision</w:t>
      </w:r>
    </w:p>
    <w:p w14:paraId="0F904851" w14:textId="77777777" w:rsidR="00935AD8" w:rsidRDefault="005559B2">
      <w:pPr>
        <w:pStyle w:val="Heading1"/>
      </w:pPr>
      <w:r>
        <w:t>Introduction</w:t>
      </w:r>
    </w:p>
    <w:p w14:paraId="2D32F5E9" w14:textId="77777777" w:rsidR="00935AD8" w:rsidRDefault="005559B2">
      <w:r>
        <w:t xml:space="preserve">In RAN#80, a new SI “Solutions for NR to support Non-Terrestrial Network” was agreed [1]. It is a continuation of the preceding SI “NR to support Non-Terrestrial Networks”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in </w:t>
      </w:r>
      <w:r>
        <w:fldChar w:fldCharType="begin"/>
      </w:r>
      <w:r>
        <w:instrText xml:space="preserve"> REF _Ref510710834 \r \h </w:instrText>
      </w:r>
      <w:r>
        <w:fldChar w:fldCharType="separate"/>
      </w:r>
      <w:r>
        <w:t>[2]</w:t>
      </w:r>
      <w:r>
        <w:fldChar w:fldCharType="end"/>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935AD8" w14:paraId="113F942B" w14:textId="77777777">
        <w:tc>
          <w:tcPr>
            <w:tcW w:w="9629" w:type="dxa"/>
          </w:tcPr>
          <w:p w14:paraId="1710C51D" w14:textId="77777777" w:rsidR="00935AD8" w:rsidRDefault="005559B2">
            <w:pPr>
              <w:numPr>
                <w:ilvl w:val="0"/>
                <w:numId w:val="11"/>
              </w:numPr>
              <w:spacing w:after="0"/>
              <w:jc w:val="left"/>
              <w:rPr>
                <w:bCs/>
              </w:rPr>
            </w:pPr>
            <w:r>
              <w:rPr>
                <w:rFonts w:eastAsia="PMingLiU"/>
                <w:lang w:eastAsia="zh-TW"/>
              </w:rPr>
              <w:t xml:space="preserve">Study the following aspects and identify related solutions if needed: </w:t>
            </w:r>
            <w:r>
              <w:rPr>
                <w:bCs/>
              </w:rPr>
              <w:t xml:space="preserve">Propagation delay: Identify timing requirements and solutions on layer 2 aspects, MAC, RLC, RRC, to support non-terrestrial network propagation delays considering FDD and TDD duplexing mode. This includes radio link management. </w:t>
            </w:r>
            <w:r>
              <w:t>[RAN2]</w:t>
            </w:r>
          </w:p>
          <w:p w14:paraId="7966985D" w14:textId="77777777" w:rsidR="00935AD8" w:rsidRDefault="005559B2">
            <w:pPr>
              <w:numPr>
                <w:ilvl w:val="0"/>
                <w:numId w:val="11"/>
              </w:numPr>
              <w:spacing w:after="0"/>
              <w:jc w:val="left"/>
              <w:rPr>
                <w:bCs/>
              </w:rPr>
            </w:pPr>
            <w:r>
              <w:rPr>
                <w:bCs/>
              </w:rPr>
              <w:t xml:space="preserve">Handover: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6FF015C7" w14:textId="77777777" w:rsidR="00935AD8" w:rsidRDefault="005559B2">
            <w:pPr>
              <w:numPr>
                <w:ilvl w:val="0"/>
                <w:numId w:val="11"/>
              </w:numPr>
              <w:spacing w:after="0"/>
              <w:jc w:val="left"/>
              <w:rPr>
                <w:bCs/>
              </w:rPr>
            </w:pPr>
            <w:r>
              <w:rPr>
                <w:bCs/>
              </w:rPr>
              <w:t xml:space="preserve">Architecture: Identify needs for the 5G’s Radio Access Network architecture to support non-terrestrial networks (e.g. handling of network identities) </w:t>
            </w:r>
            <w:r>
              <w:t>[RAN3]</w:t>
            </w:r>
          </w:p>
          <w:p w14:paraId="68806602" w14:textId="77777777" w:rsidR="00935AD8" w:rsidRDefault="005559B2">
            <w:pPr>
              <w:numPr>
                <w:ilvl w:val="1"/>
                <w:numId w:val="11"/>
              </w:numPr>
              <w:spacing w:after="0"/>
              <w:jc w:val="left"/>
              <w:rPr>
                <w:bCs/>
              </w:rPr>
            </w:pPr>
            <w:r>
              <w:t>Paging: procedure adaptations in case of moving satellite foot prints or cells</w:t>
            </w:r>
          </w:p>
          <w:p w14:paraId="20D6382A" w14:textId="77777777" w:rsidR="00935AD8" w:rsidRDefault="00935AD8">
            <w:pPr>
              <w:spacing w:after="0"/>
            </w:pPr>
          </w:p>
          <w:p w14:paraId="55356A24" w14:textId="77777777" w:rsidR="00935AD8" w:rsidRDefault="005559B2">
            <w:pPr>
              <w:spacing w:after="0"/>
            </w:pPr>
            <w:r>
              <w:t>Note:</w:t>
            </w:r>
          </w:p>
          <w:p w14:paraId="7D35BA78" w14:textId="77777777" w:rsidR="00935AD8" w:rsidRDefault="005559B2">
            <w:pPr>
              <w:numPr>
                <w:ilvl w:val="0"/>
                <w:numId w:val="11"/>
              </w:numPr>
              <w:spacing w:after="0"/>
              <w:jc w:val="left"/>
              <w:rPr>
                <w:bCs/>
              </w:rPr>
            </w:pPr>
            <w:r>
              <w:t>This new study item does not address regulatory issues.</w:t>
            </w:r>
          </w:p>
        </w:tc>
      </w:tr>
    </w:tbl>
    <w:p w14:paraId="4F23F1CA" w14:textId="77777777" w:rsidR="00935AD8" w:rsidRDefault="00935AD8"/>
    <w:p w14:paraId="30FFA6C1" w14:textId="77777777" w:rsidR="00935AD8" w:rsidRDefault="00935AD8">
      <w:pPr>
        <w:rPr>
          <w:rFonts w:eastAsia="PMingLiU"/>
          <w:lang w:eastAsia="zh-TW"/>
        </w:rPr>
      </w:pPr>
    </w:p>
    <w:p w14:paraId="5AAD01D1" w14:textId="77777777" w:rsidR="00935AD8" w:rsidRDefault="005559B2">
      <w:pPr>
        <w:spacing w:after="0"/>
        <w:rPr>
          <w:rFonts w:eastAsia="PMingLiU"/>
          <w:lang w:eastAsia="zh-TW"/>
        </w:rPr>
      </w:pPr>
      <w:r>
        <w:rPr>
          <w:rFonts w:eastAsia="PMingLiU"/>
          <w:lang w:eastAsia="zh-TW"/>
        </w:rPr>
        <w:t>In RAN2#104, the following is agreed for mobility:</w:t>
      </w:r>
    </w:p>
    <w:p w14:paraId="3A2BA89C" w14:textId="77777777" w:rsidR="00935AD8" w:rsidRDefault="00935AD8">
      <w:pPr>
        <w:spacing w:after="0"/>
      </w:pPr>
    </w:p>
    <w:p w14:paraId="37F041EA" w14:textId="77777777" w:rsidR="00935AD8" w:rsidRDefault="00935AD8">
      <w:pPr>
        <w:pStyle w:val="Doc-text2"/>
      </w:pPr>
    </w:p>
    <w:p w14:paraId="171D6E4D" w14:textId="77777777" w:rsidR="00935AD8" w:rsidRDefault="005559B2">
      <w:pPr>
        <w:pStyle w:val="Doc-text2"/>
        <w:pBdr>
          <w:top w:val="single" w:sz="4" w:space="1" w:color="auto"/>
          <w:left w:val="single" w:sz="4" w:space="4" w:color="auto"/>
          <w:bottom w:val="single" w:sz="4" w:space="1" w:color="auto"/>
          <w:right w:val="single" w:sz="4" w:space="4" w:color="auto"/>
        </w:pBdr>
        <w:rPr>
          <w:b/>
        </w:rPr>
      </w:pPr>
      <w:r>
        <w:rPr>
          <w:b/>
        </w:rPr>
        <w:t>Agreements:</w:t>
      </w:r>
    </w:p>
    <w:p w14:paraId="5F1D2D9A" w14:textId="77777777" w:rsidR="00935AD8" w:rsidRDefault="005559B2">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D6B5E88"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1B1695B3" w14:textId="77777777" w:rsidR="00935AD8" w:rsidRDefault="005559B2">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4C79A51B" w14:textId="77777777" w:rsidR="00935AD8" w:rsidRDefault="005559B2">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71BFD5AC" w14:textId="77777777" w:rsidR="00935AD8" w:rsidRDefault="005559B2">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677511A8" w14:textId="77777777" w:rsidR="00935AD8" w:rsidRDefault="00935AD8">
      <w:pPr>
        <w:pStyle w:val="Doc-text2"/>
        <w:pBdr>
          <w:top w:val="single" w:sz="4" w:space="1" w:color="auto"/>
          <w:left w:val="single" w:sz="4" w:space="4" w:color="auto"/>
          <w:bottom w:val="single" w:sz="4" w:space="1" w:color="auto"/>
          <w:right w:val="single" w:sz="4" w:space="4" w:color="auto"/>
        </w:pBdr>
      </w:pPr>
    </w:p>
    <w:p w14:paraId="113342B6" w14:textId="77777777" w:rsidR="00935AD8" w:rsidRDefault="00935AD8">
      <w:pPr>
        <w:pStyle w:val="Doc-text2"/>
      </w:pPr>
    </w:p>
    <w:p w14:paraId="7692EA13" w14:textId="77777777" w:rsidR="00935AD8" w:rsidRDefault="00935AD8">
      <w:pPr>
        <w:pStyle w:val="Doc-text2"/>
      </w:pPr>
    </w:p>
    <w:p w14:paraId="7D2AD050" w14:textId="77777777" w:rsidR="00935AD8" w:rsidRDefault="00935AD8">
      <w:pPr>
        <w:spacing w:after="0"/>
      </w:pPr>
    </w:p>
    <w:p w14:paraId="6E867F2D" w14:textId="77777777" w:rsidR="00935AD8" w:rsidRDefault="00935AD8"/>
    <w:p w14:paraId="38C9D3C4" w14:textId="77777777" w:rsidR="00935AD8" w:rsidRDefault="005559B2">
      <w:pPr>
        <w:spacing w:after="0"/>
      </w:pPr>
      <w:r>
        <w:lastRenderedPageBreak/>
        <w:t xml:space="preserve">In this paper, we discuss connected mode mobility for LEO NTN while feeder link stays the same. The feeder link switching is treated in </w:t>
      </w:r>
      <w:r>
        <w:fldChar w:fldCharType="begin"/>
      </w:r>
      <w:r>
        <w:instrText xml:space="preserve"> REF _Ref532769 \r \h </w:instrText>
      </w:r>
      <w:r>
        <w:fldChar w:fldCharType="separate"/>
      </w:r>
      <w:r>
        <w:t>[4]</w:t>
      </w:r>
      <w:r>
        <w:fldChar w:fldCharType="end"/>
      </w:r>
      <w:r>
        <w:fldChar w:fldCharType="begin"/>
      </w:r>
      <w:r>
        <w:instrText xml:space="preserve"> REF _Ref872730 \r \h </w:instrText>
      </w:r>
      <w:r>
        <w:fldChar w:fldCharType="separate"/>
      </w:r>
      <w:r>
        <w:t>[5]</w:t>
      </w:r>
      <w:r>
        <w:fldChar w:fldCharType="end"/>
      </w:r>
      <w:r>
        <w:t xml:space="preserve">. </w:t>
      </w:r>
    </w:p>
    <w:p w14:paraId="31CDC7C4" w14:textId="77777777" w:rsidR="00935AD8" w:rsidRDefault="00935AD8">
      <w:pPr>
        <w:pStyle w:val="BodyText"/>
        <w:ind w:right="533"/>
        <w:rPr>
          <w:rFonts w:cs="Arial"/>
          <w:b/>
        </w:rPr>
      </w:pPr>
    </w:p>
    <w:p w14:paraId="3E758192" w14:textId="77777777" w:rsidR="00935AD8" w:rsidRDefault="00935AD8">
      <w:pPr>
        <w:pStyle w:val="BodyText"/>
        <w:ind w:right="533"/>
        <w:rPr>
          <w:rFonts w:cs="Arial"/>
          <w:b/>
        </w:rPr>
      </w:pPr>
    </w:p>
    <w:p w14:paraId="3CF88FF0" w14:textId="77777777" w:rsidR="00935AD8" w:rsidRDefault="005559B2">
      <w:pPr>
        <w:pStyle w:val="Heading1"/>
        <w:numPr>
          <w:ilvl w:val="0"/>
          <w:numId w:val="12"/>
        </w:numPr>
        <w:textAlignment w:val="auto"/>
      </w:pPr>
      <w:r>
        <w:t>Cell level mobility for LEO satellites with earth moving beams (scenarios C2 and D2)</w:t>
      </w:r>
    </w:p>
    <w:p w14:paraId="26B6B21F" w14:textId="77777777" w:rsidR="00935AD8" w:rsidRDefault="005559B2">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RAN2#106 the following was agreed concerning Conditional Handover in NR:</w:t>
      </w:r>
    </w:p>
    <w:p w14:paraId="49DC1120"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Agreements</w:t>
      </w:r>
    </w:p>
    <w:p w14:paraId="1A89C581" w14:textId="77777777" w:rsidR="00935AD8" w:rsidRDefault="00935AD8">
      <w:pPr>
        <w:pStyle w:val="Doc-text2"/>
        <w:pBdr>
          <w:top w:val="single" w:sz="4" w:space="1" w:color="auto"/>
          <w:left w:val="single" w:sz="4" w:space="4" w:color="auto"/>
          <w:bottom w:val="single" w:sz="4" w:space="1" w:color="auto"/>
          <w:right w:val="single" w:sz="4" w:space="4" w:color="auto"/>
        </w:pBdr>
        <w:rPr>
          <w:szCs w:val="20"/>
          <w:lang w:val="en-US"/>
        </w:rPr>
      </w:pPr>
    </w:p>
    <w:p w14:paraId="326AA747"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0:</w:t>
      </w:r>
      <w:r>
        <w:rPr>
          <w:szCs w:val="20"/>
        </w:rPr>
        <w:tab/>
        <w:t>CHO is introduced in NR to solve robustness/reliability issue.</w:t>
      </w:r>
    </w:p>
    <w:p w14:paraId="40A01839" w14:textId="77777777" w:rsidR="00935AD8" w:rsidRDefault="00935AD8">
      <w:pPr>
        <w:pStyle w:val="Doc-text2"/>
        <w:pBdr>
          <w:top w:val="single" w:sz="4" w:space="1" w:color="auto"/>
          <w:left w:val="single" w:sz="4" w:space="4" w:color="auto"/>
          <w:bottom w:val="single" w:sz="4" w:space="1" w:color="auto"/>
          <w:right w:val="single" w:sz="4" w:space="4" w:color="auto"/>
        </w:pBdr>
        <w:rPr>
          <w:szCs w:val="20"/>
        </w:rPr>
      </w:pPr>
    </w:p>
    <w:p w14:paraId="58CE1CD8"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 xml:space="preserve">a/ </w:t>
      </w:r>
      <w:r>
        <w:rPr>
          <w:rStyle w:val="normaltextrun"/>
          <w:rFonts w:cs="Arial"/>
          <w:color w:val="000000"/>
          <w:szCs w:val="20"/>
        </w:rPr>
        <w:t>The source cell decides on the condition for the execution of CHO</w:t>
      </w:r>
    </w:p>
    <w:p w14:paraId="76357803"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szCs w:val="20"/>
        </w:rPr>
        <w:t xml:space="preserve">b/ </w:t>
      </w:r>
      <w:r>
        <w:rPr>
          <w:rStyle w:val="normaltextrun"/>
          <w:rFonts w:cs="Arial"/>
          <w:color w:val="000000"/>
          <w:szCs w:val="20"/>
          <w:shd w:val="clear" w:color="auto" w:fill="FFFFFF"/>
        </w:rPr>
        <w:t>The source cell adds the condition for the execution of CHO to the RRC message sent to UE.</w:t>
      </w:r>
      <w:r>
        <w:rPr>
          <w:rStyle w:val="eop"/>
          <w:rFonts w:cs="Arial"/>
          <w:color w:val="000000"/>
          <w:szCs w:val="20"/>
          <w:shd w:val="clear" w:color="auto" w:fill="FFFFFF"/>
        </w:rPr>
        <w:t> </w:t>
      </w:r>
    </w:p>
    <w:p w14:paraId="7C49FA5B" w14:textId="77777777" w:rsidR="00935AD8" w:rsidRDefault="005559B2">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rPr>
      </w:pPr>
      <w:r>
        <w:rPr>
          <w:szCs w:val="20"/>
        </w:rPr>
        <w:t xml:space="preserve">c/ </w:t>
      </w:r>
      <w:r>
        <w:rPr>
          <w:rStyle w:val="normaltextrun"/>
          <w:rFonts w:cs="Arial"/>
          <w:color w:val="000000"/>
          <w:szCs w:val="20"/>
        </w:rPr>
        <w:t xml:space="preserve">Multiple CHO candidate cells can be sent in either one or multiple RRC messages. </w:t>
      </w:r>
    </w:p>
    <w:p w14:paraId="3D166B39" w14:textId="77777777" w:rsidR="00935AD8" w:rsidRDefault="005559B2">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rPr>
      </w:pPr>
      <w:r>
        <w:rPr>
          <w:rStyle w:val="normaltextrun"/>
          <w:rFonts w:cs="Arial"/>
          <w:color w:val="000000"/>
          <w:szCs w:val="20"/>
        </w:rPr>
        <w:t xml:space="preserve">=&gt; FFS on signalling details </w:t>
      </w:r>
    </w:p>
    <w:p w14:paraId="201C2E6B" w14:textId="77777777" w:rsidR="00935AD8" w:rsidRDefault="005559B2">
      <w:pPr>
        <w:pStyle w:val="Doc-text2"/>
        <w:pBdr>
          <w:top w:val="single" w:sz="4" w:space="1" w:color="auto"/>
          <w:left w:val="single" w:sz="4" w:space="4" w:color="auto"/>
          <w:bottom w:val="single" w:sz="4" w:space="1" w:color="auto"/>
          <w:right w:val="single" w:sz="4" w:space="4" w:color="auto"/>
        </w:pBdr>
        <w:rPr>
          <w:szCs w:val="20"/>
        </w:rPr>
      </w:pPr>
      <w:r>
        <w:rPr>
          <w:rStyle w:val="normaltextrun"/>
          <w:rFonts w:cs="Arial"/>
          <w:color w:val="000000"/>
          <w:szCs w:val="20"/>
        </w:rPr>
        <w:t>=&gt; FFS how CHO execution is handled</w:t>
      </w:r>
    </w:p>
    <w:p w14:paraId="742D8800"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 . . </w:t>
      </w:r>
    </w:p>
    <w:p w14:paraId="11C74CA2" w14:textId="77777777" w:rsidR="00935AD8" w:rsidRDefault="00935AD8"/>
    <w:p w14:paraId="25D3943B" w14:textId="77777777" w:rsidR="00935AD8" w:rsidRDefault="005559B2">
      <w:pPr>
        <w:pStyle w:val="Doc-text2"/>
        <w:pBdr>
          <w:top w:val="single" w:sz="4" w:space="1" w:color="auto"/>
          <w:left w:val="single" w:sz="4" w:space="4" w:color="auto"/>
          <w:bottom w:val="single" w:sz="4" w:space="1" w:color="auto"/>
          <w:right w:val="single" w:sz="4" w:space="4" w:color="auto"/>
        </w:pBdr>
      </w:pPr>
      <w:bookmarkStart w:id="1" w:name="_Hlk8871513"/>
      <w:r>
        <w:t>Agreements</w:t>
      </w:r>
    </w:p>
    <w:p w14:paraId="40EA69CF" w14:textId="77777777" w:rsidR="00935AD8" w:rsidRDefault="005559B2">
      <w:pPr>
        <w:pStyle w:val="Doc-text2"/>
        <w:pBdr>
          <w:top w:val="single" w:sz="4" w:space="1" w:color="auto"/>
          <w:left w:val="single" w:sz="4" w:space="4" w:color="auto"/>
          <w:bottom w:val="single" w:sz="4" w:space="1" w:color="auto"/>
          <w:right w:val="single" w:sz="4" w:space="4" w:color="auto"/>
        </w:pBdr>
      </w:pPr>
      <w:r>
        <w:t>…</w:t>
      </w:r>
    </w:p>
    <w:p w14:paraId="7BEA03E3" w14:textId="77777777" w:rsidR="00935AD8" w:rsidRDefault="005559B2">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5BA40590" w14:textId="77777777" w:rsidR="00935AD8" w:rsidRDefault="005559B2">
      <w:pPr>
        <w:pStyle w:val="Doc-text2"/>
        <w:pBdr>
          <w:top w:val="single" w:sz="4" w:space="1" w:color="auto"/>
          <w:left w:val="single" w:sz="4" w:space="4" w:color="auto"/>
          <w:bottom w:val="single" w:sz="4" w:space="1" w:color="auto"/>
          <w:right w:val="single" w:sz="4" w:space="4" w:color="auto"/>
        </w:pBdr>
      </w:pPr>
      <w:r>
        <w:t>. . .</w:t>
      </w:r>
    </w:p>
    <w:bookmarkEnd w:id="1"/>
    <w:p w14:paraId="3E7646F2" w14:textId="77777777" w:rsidR="00935AD8" w:rsidRDefault="00935AD8">
      <w:pPr>
        <w:pStyle w:val="Doc-text2"/>
      </w:pPr>
    </w:p>
    <w:p w14:paraId="5A8C7F63"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 . . </w:t>
      </w:r>
    </w:p>
    <w:p w14:paraId="5AFFF21F" w14:textId="77777777" w:rsidR="00935AD8" w:rsidRDefault="005559B2">
      <w:pPr>
        <w:pStyle w:val="Doc-text2"/>
        <w:pBdr>
          <w:top w:val="single" w:sz="4" w:space="1" w:color="auto"/>
          <w:left w:val="single" w:sz="4" w:space="4" w:color="auto"/>
          <w:bottom w:val="single" w:sz="4" w:space="1" w:color="auto"/>
          <w:right w:val="single" w:sz="4" w:space="4" w:color="auto"/>
        </w:pBdr>
      </w:pPr>
      <w:r>
        <w:t>4</w:t>
      </w:r>
      <w:r>
        <w:tab/>
        <w:t xml:space="preserve">Deconfiguration of CHO candidates </w:t>
      </w:r>
      <w:proofErr w:type="gramStart"/>
      <w:r>
        <w:t>is</w:t>
      </w:r>
      <w:proofErr w:type="gramEnd"/>
      <w:r>
        <w:t xml:space="preserve"> performed by RRC signalling (we will not introduce timer based mechanism for the UE to deconfiguration of the CHO candidates).</w:t>
      </w:r>
    </w:p>
    <w:p w14:paraId="27F88474" w14:textId="77777777" w:rsidR="00935AD8" w:rsidRDefault="005559B2">
      <w:pPr>
        <w:pStyle w:val="Doc-text2"/>
        <w:pBdr>
          <w:top w:val="single" w:sz="4" w:space="1" w:color="auto"/>
          <w:left w:val="single" w:sz="4" w:space="4" w:color="auto"/>
          <w:bottom w:val="single" w:sz="4" w:space="1" w:color="auto"/>
          <w:right w:val="single" w:sz="4" w:space="4" w:color="auto"/>
        </w:pBdr>
      </w:pPr>
      <w:r>
        <w:t xml:space="preserve">. . . </w:t>
      </w:r>
    </w:p>
    <w:p w14:paraId="03FE0CEB" w14:textId="77777777" w:rsidR="00935AD8" w:rsidRDefault="00935AD8"/>
    <w:p w14:paraId="44423E61" w14:textId="77777777" w:rsidR="00935AD8" w:rsidRDefault="00935AD8"/>
    <w:p w14:paraId="3C5FF31E" w14:textId="77777777" w:rsidR="00935AD8" w:rsidRDefault="00935AD8"/>
    <w:p w14:paraId="47FEA49C" w14:textId="77777777" w:rsidR="00935AD8" w:rsidRDefault="005559B2">
      <w:r>
        <w:t xml:space="preserve">From the above, it can be deduced that the work on CHO in mobility WI will continue in parallel to NTN SI and will handle also other aspects, like inter node signalling, in addition to possible triggering conditions. For the NTN discussions related to CHO, it seems that it would be beneficial to list possible triggering conditions from NTN operation perspective and give related pros and cons in the TR. </w:t>
      </w:r>
    </w:p>
    <w:p w14:paraId="0EFDBEEE" w14:textId="77777777" w:rsidR="00935AD8" w:rsidRDefault="005559B2">
      <w:pPr>
        <w:rPr>
          <w:ins w:id="2" w:author="Ericsson" w:date="2019-11-21T01:24:00Z"/>
        </w:rPr>
      </w:pPr>
      <w:r>
        <w:t xml:space="preserve">One triggering condition not yet mention in the draft TR is the timing advance based triggering. Timing advance based triggering fits well for the issue where UE needs to </w:t>
      </w:r>
      <w:proofErr w:type="spellStart"/>
      <w:r>
        <w:t>precompensate</w:t>
      </w:r>
      <w:proofErr w:type="spellEnd"/>
      <w:r>
        <w:t xml:space="preserve"> time when sending the RACH preamble in order the target cell to receive the preamble properly. Further, due to small difference to RSRP/RSRQ values between overlapping cells, timing advance based triggering may provide better accuracy for the triggering point. As a drawback, it requires GNSS capable UEs. We are proposing </w:t>
      </w:r>
      <w:proofErr w:type="spellStart"/>
      <w:r>
        <w:t>toe</w:t>
      </w:r>
      <w:proofErr w:type="spellEnd"/>
      <w:r>
        <w:t xml:space="preserve"> capture this triggering option in TR with mentioned pros and cons.</w:t>
      </w:r>
    </w:p>
    <w:p w14:paraId="3792642A" w14:textId="77777777" w:rsidR="00935AD8" w:rsidRDefault="00935AD8">
      <w:pPr>
        <w:rPr>
          <w:ins w:id="3" w:author="Ericsson" w:date="2019-11-21T01:24:00Z"/>
        </w:rPr>
      </w:pPr>
    </w:p>
    <w:p w14:paraId="06195F7A" w14:textId="67D924CE" w:rsidR="00935AD8" w:rsidRDefault="005559B2">
      <w:ins w:id="4" w:author="Ericsson" w:date="2019-11-21T01:24:00Z">
        <w:r>
          <w:t xml:space="preserve">TP is </w:t>
        </w:r>
      </w:ins>
      <w:ins w:id="5" w:author="Ericsson" w:date="2019-11-21T01:25:00Z">
        <w:r>
          <w:t>revised to include suggestions from R2-1914739</w:t>
        </w:r>
      </w:ins>
      <w:ins w:id="6" w:author="Ericsson" w:date="2019-11-22T19:02:00Z">
        <w:r w:rsidR="00975DC0">
          <w:t>.</w:t>
        </w:r>
      </w:ins>
    </w:p>
    <w:p w14:paraId="167071FC" w14:textId="77777777" w:rsidR="00935AD8" w:rsidRDefault="00935AD8"/>
    <w:p w14:paraId="72D19FE5" w14:textId="77777777" w:rsidR="00935AD8" w:rsidRDefault="005559B2">
      <w:pPr>
        <w:pStyle w:val="Proposal"/>
        <w:numPr>
          <w:ilvl w:val="0"/>
          <w:numId w:val="13"/>
        </w:numPr>
        <w:textAlignment w:val="auto"/>
        <w:rPr>
          <w:lang w:val="en-US"/>
        </w:rPr>
      </w:pPr>
      <w:bookmarkStart w:id="7" w:name="_Toc1074318"/>
      <w:bookmarkStart w:id="8" w:name="_Toc4082458"/>
      <w:bookmarkStart w:id="9" w:name="_Toc4545183"/>
      <w:bookmarkStart w:id="10" w:name="_Toc16597176"/>
      <w:bookmarkStart w:id="11" w:name="_Toc16598072"/>
      <w:r>
        <w:rPr>
          <w:lang w:val="en-US"/>
        </w:rPr>
        <w:t>Agree the TP in appendix.</w:t>
      </w:r>
      <w:bookmarkEnd w:id="7"/>
      <w:bookmarkEnd w:id="8"/>
      <w:bookmarkEnd w:id="9"/>
      <w:bookmarkEnd w:id="10"/>
      <w:bookmarkEnd w:id="11"/>
    </w:p>
    <w:p w14:paraId="6EEFFBBD" w14:textId="77777777" w:rsidR="00935AD8" w:rsidRDefault="005559B2">
      <w:pPr>
        <w:pStyle w:val="Heading1"/>
        <w:numPr>
          <w:ilvl w:val="0"/>
          <w:numId w:val="12"/>
        </w:numPr>
        <w:textAlignment w:val="auto"/>
      </w:pPr>
      <w:r>
        <w:lastRenderedPageBreak/>
        <w:t>Conclusion</w:t>
      </w:r>
    </w:p>
    <w:p w14:paraId="07998311" w14:textId="77777777" w:rsidR="00935AD8" w:rsidRDefault="00935AD8">
      <w:pPr>
        <w:pStyle w:val="BodyText"/>
        <w:rPr>
          <w:b/>
          <w:bCs/>
        </w:rPr>
      </w:pPr>
    </w:p>
    <w:p w14:paraId="2745CAF7" w14:textId="77777777" w:rsidR="00935AD8" w:rsidRDefault="005559B2">
      <w:pPr>
        <w:pStyle w:val="BodyText"/>
      </w:pPr>
      <w:r>
        <w:t>We propose the following:</w:t>
      </w:r>
      <w:r>
        <w:rPr>
          <w:b/>
          <w:bCs/>
        </w:rPr>
        <w:fldChar w:fldCharType="begin"/>
      </w:r>
      <w:r>
        <w:rPr>
          <w:b/>
          <w:bCs/>
        </w:rPr>
        <w:instrText xml:space="preserve"> TOC \f \n \p " " \t "Proposal;1" </w:instrText>
      </w:r>
      <w:r>
        <w:rPr>
          <w:b/>
          <w:bCs/>
        </w:rPr>
        <w:fldChar w:fldCharType="separate"/>
      </w:r>
    </w:p>
    <w:p w14:paraId="3B882A84" w14:textId="77777777" w:rsidR="00935AD8" w:rsidRDefault="005559B2">
      <w:pPr>
        <w:pStyle w:val="TOC1"/>
        <w:rPr>
          <w:rFonts w:asciiTheme="minorHAnsi" w:eastAsiaTheme="minorEastAsia" w:hAnsiTheme="minorHAnsi" w:cstheme="minorBidi"/>
          <w:b w:val="0"/>
          <w:sz w:val="22"/>
          <w:lang w:eastAsia="fi-FI"/>
        </w:rPr>
      </w:pPr>
      <w:r>
        <w:t>Proposal 1</w:t>
      </w:r>
      <w:r>
        <w:rPr>
          <w:rFonts w:asciiTheme="minorHAnsi" w:eastAsiaTheme="minorEastAsia" w:hAnsiTheme="minorHAnsi" w:cstheme="minorBidi"/>
          <w:b w:val="0"/>
          <w:sz w:val="22"/>
          <w:lang w:eastAsia="fi-FI"/>
        </w:rPr>
        <w:tab/>
      </w:r>
      <w:r>
        <w:t>Agree the TP in appendix.</w:t>
      </w:r>
    </w:p>
    <w:p w14:paraId="71D3DA0C" w14:textId="77777777" w:rsidR="00935AD8" w:rsidRDefault="005559B2">
      <w:pPr>
        <w:rPr>
          <w:b/>
          <w:bCs/>
        </w:rPr>
      </w:pPr>
      <w:r>
        <w:rPr>
          <w:b/>
          <w:bCs/>
        </w:rPr>
        <w:fldChar w:fldCharType="end"/>
      </w:r>
    </w:p>
    <w:p w14:paraId="6761053A" w14:textId="77777777" w:rsidR="00935AD8" w:rsidRDefault="00935AD8"/>
    <w:p w14:paraId="1012807A" w14:textId="77777777" w:rsidR="00935AD8" w:rsidRDefault="005559B2">
      <w:pPr>
        <w:pStyle w:val="Heading1"/>
        <w:numPr>
          <w:ilvl w:val="0"/>
          <w:numId w:val="12"/>
        </w:numPr>
        <w:textAlignment w:val="auto"/>
      </w:pPr>
      <w:bookmarkStart w:id="12" w:name="_In-sequence_SDU_delivery"/>
      <w:bookmarkEnd w:id="12"/>
      <w:r>
        <w:t>References</w:t>
      </w:r>
    </w:p>
    <w:p w14:paraId="30D78C35" w14:textId="77777777" w:rsidR="00935AD8" w:rsidRDefault="005559B2">
      <w:pPr>
        <w:pStyle w:val="Reference"/>
        <w:numPr>
          <w:ilvl w:val="0"/>
          <w:numId w:val="14"/>
        </w:numPr>
        <w:textAlignment w:val="auto"/>
      </w:pPr>
      <w:bookmarkStart w:id="13" w:name="_Ref509923152"/>
      <w:bookmarkStart w:id="14" w:name="_Ref189809556"/>
      <w:bookmarkStart w:id="15" w:name="_Ref174151459"/>
      <w:bookmarkStart w:id="16" w:name="_Ref505610477"/>
      <w:r>
        <w:t xml:space="preserve">RP-181370, New SID on Solutions for NR to support </w:t>
      </w:r>
      <w:proofErr w:type="gramStart"/>
      <w:r>
        <w:t>Non Terrestrial</w:t>
      </w:r>
      <w:proofErr w:type="gramEnd"/>
      <w:r>
        <w:t xml:space="preserve"> Network, Thales, RAN#80, </w:t>
      </w:r>
      <w:bookmarkEnd w:id="13"/>
      <w:r>
        <w:t>La Jolla, USA, June 2018</w:t>
      </w:r>
    </w:p>
    <w:p w14:paraId="582A9675" w14:textId="77777777" w:rsidR="00935AD8" w:rsidRDefault="005559B2">
      <w:pPr>
        <w:pStyle w:val="Reference"/>
        <w:numPr>
          <w:ilvl w:val="0"/>
          <w:numId w:val="14"/>
        </w:numPr>
        <w:textAlignment w:val="auto"/>
      </w:pPr>
      <w:r>
        <w:t>TR 38.811, Study on New Radio (NR) to support non terrestrial networks, Release 15</w:t>
      </w:r>
    </w:p>
    <w:p w14:paraId="74DAF219" w14:textId="77777777" w:rsidR="00935AD8" w:rsidRDefault="005559B2">
      <w:pPr>
        <w:pStyle w:val="Reference"/>
        <w:numPr>
          <w:ilvl w:val="0"/>
          <w:numId w:val="14"/>
        </w:numPr>
        <w:textAlignment w:val="auto"/>
      </w:pPr>
      <w:bookmarkStart w:id="17" w:name="_Ref510710834"/>
      <w:bookmarkStart w:id="18" w:name="_Ref525843069"/>
      <w:bookmarkEnd w:id="14"/>
      <w:bookmarkEnd w:id="15"/>
      <w:bookmarkEnd w:id="16"/>
      <w:r>
        <w:t xml:space="preserve">TR 38.821, </w:t>
      </w:r>
      <w:bookmarkEnd w:id="17"/>
      <w:r>
        <w:t xml:space="preserve">Solutions for NR to support </w:t>
      </w:r>
      <w:proofErr w:type="gramStart"/>
      <w:r>
        <w:t>Non Terrestrial</w:t>
      </w:r>
      <w:proofErr w:type="gramEnd"/>
      <w:r>
        <w:t xml:space="preserve"> Network</w:t>
      </w:r>
      <w:bookmarkEnd w:id="18"/>
    </w:p>
    <w:p w14:paraId="0E86A2FE" w14:textId="77777777" w:rsidR="00935AD8" w:rsidRDefault="005559B2">
      <w:pPr>
        <w:pStyle w:val="Reference"/>
        <w:numPr>
          <w:ilvl w:val="0"/>
          <w:numId w:val="14"/>
        </w:numPr>
      </w:pPr>
      <w:bookmarkStart w:id="19" w:name="_Ref532769"/>
      <w:r>
        <w:t>R2-181xxx, Mobility for GEO, Ericsson, RAN2#105, Athens Greece</w:t>
      </w:r>
      <w:bookmarkEnd w:id="19"/>
      <w:r>
        <w:t xml:space="preserve"> </w:t>
      </w:r>
    </w:p>
    <w:p w14:paraId="5E27B221" w14:textId="77777777" w:rsidR="00935AD8" w:rsidRDefault="00935AD8">
      <w:pPr>
        <w:pStyle w:val="Reference"/>
        <w:numPr>
          <w:ilvl w:val="0"/>
          <w:numId w:val="0"/>
        </w:numPr>
        <w:ind w:left="567" w:hanging="567"/>
        <w:textAlignment w:val="auto"/>
      </w:pPr>
    </w:p>
    <w:p w14:paraId="33E97D3F" w14:textId="77777777" w:rsidR="00935AD8" w:rsidRDefault="005559B2">
      <w:pPr>
        <w:pStyle w:val="Heading1"/>
      </w:pPr>
      <w:r>
        <w:t>Appendix</w:t>
      </w:r>
    </w:p>
    <w:p w14:paraId="1F76AAE3" w14:textId="77777777" w:rsidR="00935AD8" w:rsidRDefault="00935AD8"/>
    <w:p w14:paraId="26868781" w14:textId="77777777" w:rsidR="00935AD8" w:rsidRDefault="005559B2">
      <w:r>
        <w:t>------------------------start----------------------------------</w:t>
      </w:r>
    </w:p>
    <w:p w14:paraId="12092CD1" w14:textId="77777777" w:rsidR="00935AD8" w:rsidRDefault="00935AD8"/>
    <w:p w14:paraId="0509164F" w14:textId="77777777" w:rsidR="00935AD8" w:rsidRDefault="005559B2">
      <w:pPr>
        <w:pStyle w:val="Heading5"/>
        <w:numPr>
          <w:ilvl w:val="0"/>
          <w:numId w:val="0"/>
        </w:numPr>
        <w:ind w:left="1008"/>
        <w:rPr>
          <w:ins w:id="20" w:author="draft 38821 090 V2" w:date="2019-11-05T10:54:00Z"/>
        </w:rPr>
      </w:pPr>
      <w:bookmarkStart w:id="21" w:name="_Toc23403957"/>
      <w:ins w:id="22" w:author="draft 38821 090 V2" w:date="2019-11-05T10:54:00Z">
        <w:r>
          <w:t>7.3.2.2.2</w:t>
        </w:r>
        <w:del w:id="23" w:author="Raschkowski, Leszek" w:date="2019-10-30T11:44:00Z">
          <w:r>
            <w:delText xml:space="preserve"> </w:delText>
          </w:r>
        </w:del>
        <w:r>
          <w:tab/>
          <w:t>Conditional Handover</w:t>
        </w:r>
        <w:bookmarkEnd w:id="21"/>
      </w:ins>
    </w:p>
    <w:p w14:paraId="48A99A02" w14:textId="2FA5B546" w:rsidR="00935AD8" w:rsidRDefault="005559B2">
      <w:pPr>
        <w:numPr>
          <w:ilvl w:val="0"/>
          <w:numId w:val="15"/>
        </w:numPr>
        <w:overflowPunct/>
        <w:autoSpaceDE/>
        <w:autoSpaceDN/>
        <w:adjustRightInd/>
        <w:spacing w:after="160"/>
        <w:ind w:left="360"/>
        <w:textAlignment w:val="auto"/>
        <w:rPr>
          <w:ins w:id="24" w:author="draft 38821 090 V2" w:date="2019-11-05T10:54:00Z"/>
          <w:rFonts w:cs="Arial"/>
        </w:rPr>
      </w:pPr>
      <w:ins w:id="25" w:author="draft 38821 090 V2" w:date="2019-11-05T10:54:00Z">
        <w:r>
          <w:rPr>
            <w:rFonts w:cs="Arial"/>
            <w:b/>
          </w:rPr>
          <w:t>Measurement-based triggering</w:t>
        </w:r>
        <w:r>
          <w:rPr>
            <w:rFonts w:cs="Arial"/>
          </w:rPr>
          <w:t xml:space="preserve">: Agreements in the mobility enhancements WI are to be taken as baseline. Configuration of triggering thresholds and/or which measurement events to use as triggers should consider the NTN environment e.g. the small </w:t>
        </w:r>
      </w:ins>
      <w:ins w:id="26" w:author="Ming-Hung Tao" w:date="2019-11-21T21:46:00Z">
        <w:r w:rsidR="00E900AB">
          <w:rPr>
            <w:rFonts w:cs="Arial"/>
          </w:rPr>
          <w:t xml:space="preserve">variation of the </w:t>
        </w:r>
      </w:ins>
      <w:ins w:id="27" w:author="draft 38821 090 V2" w:date="2019-11-05T10:54:00Z">
        <w:r>
          <w:rPr>
            <w:rFonts w:cs="Arial"/>
          </w:rPr>
          <w:t xml:space="preserve">cell quality </w:t>
        </w:r>
      </w:ins>
      <w:ins w:id="28" w:author="Ming-Hung Tao" w:date="2019-11-21T21:47:00Z">
        <w:r w:rsidR="00E900AB">
          <w:rPr>
            <w:rFonts w:cs="Arial"/>
          </w:rPr>
          <w:t>measured in</w:t>
        </w:r>
      </w:ins>
      <w:ins w:id="29" w:author="draft 38821 090 V2" w:date="2019-11-05T10:54:00Z">
        <w:r>
          <w:rPr>
            <w:rFonts w:cs="Arial"/>
          </w:rPr>
          <w:t xml:space="preserve"> cell </w:t>
        </w:r>
        <w:proofErr w:type="spellStart"/>
        <w:r>
          <w:rPr>
            <w:rFonts w:cs="Arial"/>
          </w:rPr>
          <w:t>center</w:t>
        </w:r>
        <w:proofErr w:type="spellEnd"/>
        <w:r>
          <w:rPr>
            <w:rFonts w:cs="Arial"/>
          </w:rPr>
          <w:t xml:space="preserve"> and </w:t>
        </w:r>
      </w:ins>
      <w:ins w:id="30" w:author="Ming-Hung Tao" w:date="2019-11-21T21:47:00Z">
        <w:r w:rsidR="00E900AB">
          <w:rPr>
            <w:rFonts w:cs="Arial"/>
          </w:rPr>
          <w:t xml:space="preserve">at cell </w:t>
        </w:r>
      </w:ins>
      <w:ins w:id="31" w:author="draft 38821 090 V2" w:date="2019-11-05T10:54:00Z">
        <w:r>
          <w:rPr>
            <w:rFonts w:cs="Arial"/>
          </w:rPr>
          <w:t>edge in NTN.</w:t>
        </w:r>
      </w:ins>
    </w:p>
    <w:p w14:paraId="2D86193E" w14:textId="1BE853B3" w:rsidR="00935AD8" w:rsidRDefault="005559B2">
      <w:pPr>
        <w:numPr>
          <w:ilvl w:val="0"/>
          <w:numId w:val="15"/>
        </w:numPr>
        <w:overflowPunct/>
        <w:autoSpaceDE/>
        <w:autoSpaceDN/>
        <w:adjustRightInd/>
        <w:spacing w:after="160"/>
        <w:ind w:left="360"/>
        <w:textAlignment w:val="auto"/>
        <w:rPr>
          <w:ins w:id="32" w:author="draft 38821 090 V2" w:date="2019-11-05T10:54:00Z"/>
          <w:rFonts w:cs="Arial"/>
        </w:rPr>
      </w:pPr>
      <w:ins w:id="33" w:author="draft 38821 090 V2" w:date="2019-11-05T10:54:00Z">
        <w:r>
          <w:rPr>
            <w:rFonts w:cs="Arial"/>
            <w:b/>
          </w:rPr>
          <w:t>Location (UE and Satellite) triggering</w:t>
        </w:r>
        <w:r>
          <w:rPr>
            <w:rFonts w:cs="Arial"/>
          </w:rPr>
          <w:t>: additional triggering conditions based on UE and satellite location can be considered in NTN and may be considered independently or jointly with another trigger (e.g. measurement based). Location-based conditional HO in LEO scenarios should consider deterministic satellite movement.</w:t>
        </w:r>
      </w:ins>
      <w:r w:rsidR="00192A2A">
        <w:rPr>
          <w:rFonts w:cs="Arial"/>
        </w:rPr>
        <w:t xml:space="preserve"> </w:t>
      </w:r>
      <w:ins w:id="34" w:author="Ericsson" w:date="2019-11-22T19:04:00Z">
        <w:r w:rsidR="00192A2A">
          <w:rPr>
            <w:rFonts w:cs="Arial"/>
          </w:rPr>
          <w:t xml:space="preserve">For example, the location </w:t>
        </w:r>
        <w:r w:rsidR="00537BCA">
          <w:rPr>
            <w:rFonts w:cs="Arial"/>
          </w:rPr>
          <w:t xml:space="preserve">triggering condition </w:t>
        </w:r>
        <w:r w:rsidR="00192A2A">
          <w:rPr>
            <w:rFonts w:cs="Arial"/>
          </w:rPr>
          <w:t xml:space="preserve">may be expressed as distance </w:t>
        </w:r>
        <w:r w:rsidR="00537BCA">
          <w:rPr>
            <w:rFonts w:cs="Arial"/>
          </w:rPr>
          <w:t>between the UE and the satellite</w:t>
        </w:r>
      </w:ins>
    </w:p>
    <w:p w14:paraId="0C832330" w14:textId="77777777" w:rsidR="00935AD8" w:rsidRDefault="005559B2">
      <w:pPr>
        <w:numPr>
          <w:ilvl w:val="0"/>
          <w:numId w:val="15"/>
        </w:numPr>
        <w:overflowPunct/>
        <w:autoSpaceDE/>
        <w:autoSpaceDN/>
        <w:adjustRightInd/>
        <w:spacing w:after="160"/>
        <w:ind w:left="360"/>
        <w:textAlignment w:val="auto"/>
        <w:rPr>
          <w:ins w:id="35" w:author="Ericsson(Helka)" w:date="2019-11-05T10:57:00Z"/>
          <w:rFonts w:cs="Arial"/>
        </w:rPr>
      </w:pPr>
      <w:ins w:id="36" w:author="draft 38821 090 V2" w:date="2019-11-05T10:54:00Z">
        <w:r>
          <w:rPr>
            <w:rFonts w:cs="Arial"/>
            <w:b/>
          </w:rPr>
          <w:t>Time(r)-based triggering</w:t>
        </w:r>
        <w:r>
          <w:rPr>
            <w:rFonts w:cs="Arial"/>
          </w:rPr>
          <w:t>: Several triggering conditions considering the time a region is served can be considered. This may be based on UTC time, or a timer-based solution, and may be considered independently or jointly with another trigger (e.g. measurement based). Time-based conditional HO in LEO scenarios should consider deterministic satellite movement.</w:t>
        </w:r>
      </w:ins>
    </w:p>
    <w:p w14:paraId="1DE99CBD" w14:textId="249A5944" w:rsidR="00935AD8" w:rsidRDefault="005559B2">
      <w:pPr>
        <w:numPr>
          <w:ilvl w:val="0"/>
          <w:numId w:val="15"/>
        </w:numPr>
        <w:overflowPunct/>
        <w:autoSpaceDE/>
        <w:autoSpaceDN/>
        <w:adjustRightInd/>
        <w:spacing w:after="160"/>
        <w:ind w:left="360"/>
        <w:textAlignment w:val="auto"/>
        <w:rPr>
          <w:ins w:id="37" w:author="ZTE" w:date="2019-11-21T12:02:00Z"/>
          <w:rFonts w:cs="Arial"/>
        </w:rPr>
      </w:pPr>
      <w:ins w:id="38" w:author="Ericsson(Helka)" w:date="2019-11-05T10:57:00Z">
        <w:r>
          <w:rPr>
            <w:rFonts w:cs="Arial"/>
            <w:b/>
          </w:rPr>
          <w:t xml:space="preserve">Timing advance </w:t>
        </w:r>
        <w:proofErr w:type="gramStart"/>
        <w:r>
          <w:rPr>
            <w:rFonts w:cs="Arial"/>
            <w:b/>
          </w:rPr>
          <w:t>value based</w:t>
        </w:r>
        <w:proofErr w:type="gramEnd"/>
        <w:r>
          <w:rPr>
            <w:rFonts w:cs="Arial"/>
            <w:b/>
          </w:rPr>
          <w:t xml:space="preserve"> triggering</w:t>
        </w:r>
        <w:r>
          <w:rPr>
            <w:rFonts w:cs="Arial"/>
          </w:rPr>
          <w:t>: additional triggering conditions based on timing advance value to the target cell can be considered in NTN and may be considered</w:t>
        </w:r>
      </w:ins>
      <w:ins w:id="39" w:author="Ericsson" w:date="2019-11-21T23:46:00Z">
        <w:r w:rsidR="00C53FEB">
          <w:rPr>
            <w:rFonts w:cs="Arial"/>
          </w:rPr>
          <w:t xml:space="preserve"> independently or</w:t>
        </w:r>
      </w:ins>
      <w:ins w:id="40" w:author="Ericsson(Helka)" w:date="2019-11-05T10:57:00Z">
        <w:r>
          <w:rPr>
            <w:rFonts w:cs="Arial"/>
          </w:rPr>
          <w:t xml:space="preserve"> jointly with another trigger.</w:t>
        </w:r>
      </w:ins>
    </w:p>
    <w:p w14:paraId="41C8A199" w14:textId="7246762D" w:rsidR="00247395" w:rsidRPr="00247395" w:rsidRDefault="00247395" w:rsidP="00247395">
      <w:pPr>
        <w:numPr>
          <w:ilvl w:val="0"/>
          <w:numId w:val="15"/>
        </w:numPr>
        <w:overflowPunct/>
        <w:autoSpaceDE/>
        <w:autoSpaceDN/>
        <w:adjustRightInd/>
        <w:spacing w:after="160"/>
        <w:ind w:left="360"/>
        <w:textAlignment w:val="auto"/>
        <w:rPr>
          <w:ins w:id="41" w:author="R2-1916242 " w:date="2019-11-21T01:26:00Z"/>
          <w:rFonts w:cs="Arial"/>
        </w:rPr>
      </w:pPr>
      <w:ins w:id="42" w:author="ZTE" w:date="2019-11-21T12:00:00Z">
        <w:r>
          <w:rPr>
            <w:rFonts w:cs="Arial"/>
            <w:b/>
          </w:rPr>
          <w:t xml:space="preserve">Elevation angles of source and target </w:t>
        </w:r>
        <w:proofErr w:type="gramStart"/>
        <w:r>
          <w:rPr>
            <w:rFonts w:cs="Arial"/>
            <w:b/>
          </w:rPr>
          <w:t>cells based</w:t>
        </w:r>
        <w:proofErr w:type="gramEnd"/>
        <w:r>
          <w:rPr>
            <w:rFonts w:cs="Arial"/>
            <w:b/>
          </w:rPr>
          <w:t xml:space="preserve"> triggering:</w:t>
        </w:r>
        <w:r>
          <w:rPr>
            <w:rFonts w:cs="Arial"/>
          </w:rPr>
          <w:t xml:space="preserve"> additional triggering conditions based on elevation angles of source and target cells can be considered in NTN and may be considered independently or jointly with another trigger.</w:t>
        </w:r>
      </w:ins>
    </w:p>
    <w:p w14:paraId="0D287213" w14:textId="77777777" w:rsidR="00935AD8" w:rsidRDefault="00935AD8">
      <w:pPr>
        <w:numPr>
          <w:ilvl w:val="0"/>
          <w:numId w:val="15"/>
        </w:numPr>
        <w:overflowPunct/>
        <w:autoSpaceDE/>
        <w:autoSpaceDN/>
        <w:adjustRightInd/>
        <w:spacing w:after="160"/>
        <w:ind w:left="360"/>
        <w:textAlignment w:val="auto"/>
        <w:rPr>
          <w:ins w:id="43" w:author="draft 38821 090 V2" w:date="2019-11-05T10:54:00Z"/>
          <w:del w:id="44" w:author="Ericsson(Helka)" w:date="2019-11-05T10:57:00Z"/>
          <w:rFonts w:cs="Arial"/>
        </w:rPr>
      </w:pPr>
    </w:p>
    <w:p w14:paraId="63ACEF2F" w14:textId="77777777" w:rsidR="00935AD8" w:rsidRDefault="005559B2">
      <w:pPr>
        <w:pStyle w:val="TH"/>
        <w:rPr>
          <w:ins w:id="45" w:author="draft 38821 090 V2" w:date="2019-11-05T10:54:00Z"/>
          <w:lang w:eastAsia="zh-CN"/>
        </w:rPr>
      </w:pPr>
      <w:ins w:id="46" w:author="draft 38821 090 V2" w:date="2019-11-05T10:54:00Z">
        <w:r>
          <w:rPr>
            <w:lang w:eastAsia="zh-CN"/>
          </w:rPr>
          <w:lastRenderedPageBreak/>
          <w:t>Table 7.3.2.2.2-1: Pros and Cons of the different triggering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3756"/>
        <w:gridCol w:w="4248"/>
      </w:tblGrid>
      <w:tr w:rsidR="00935AD8" w14:paraId="2FFC9756" w14:textId="77777777">
        <w:trPr>
          <w:ins w:id="47" w:author="draft 38821 090 V2" w:date="2019-11-05T10:54:00Z"/>
        </w:trPr>
        <w:tc>
          <w:tcPr>
            <w:tcW w:w="1572" w:type="dxa"/>
            <w:shd w:val="clear" w:color="auto" w:fill="F2F2F2"/>
            <w:vAlign w:val="center"/>
          </w:tcPr>
          <w:p w14:paraId="7C60C552" w14:textId="77777777" w:rsidR="00935AD8" w:rsidRDefault="005559B2">
            <w:pPr>
              <w:pStyle w:val="ListParagraph"/>
              <w:ind w:left="0"/>
              <w:jc w:val="center"/>
              <w:rPr>
                <w:ins w:id="48" w:author="draft 38821 090 V2" w:date="2019-11-05T10:54:00Z"/>
                <w:rFonts w:cs="Arial"/>
                <w:b/>
              </w:rPr>
            </w:pPr>
            <w:ins w:id="49" w:author="draft 38821 090 V2" w:date="2019-11-05T10:54:00Z">
              <w:r>
                <w:rPr>
                  <w:rFonts w:cs="Arial"/>
                  <w:b/>
                </w:rPr>
                <w:t>Triggering Method</w:t>
              </w:r>
            </w:ins>
          </w:p>
        </w:tc>
        <w:tc>
          <w:tcPr>
            <w:tcW w:w="3756" w:type="dxa"/>
            <w:shd w:val="clear" w:color="auto" w:fill="F2F2F2"/>
            <w:vAlign w:val="center"/>
          </w:tcPr>
          <w:p w14:paraId="277EE688" w14:textId="77777777" w:rsidR="00935AD8" w:rsidRDefault="005559B2">
            <w:pPr>
              <w:pStyle w:val="ListParagraph"/>
              <w:ind w:left="0"/>
              <w:jc w:val="center"/>
              <w:rPr>
                <w:ins w:id="50" w:author="draft 38821 090 V2" w:date="2019-11-05T10:54:00Z"/>
                <w:rFonts w:cs="Arial"/>
                <w:b/>
              </w:rPr>
            </w:pPr>
            <w:ins w:id="51" w:author="draft 38821 090 V2" w:date="2019-11-05T10:54:00Z">
              <w:r>
                <w:rPr>
                  <w:rFonts w:cs="Arial"/>
                  <w:b/>
                </w:rPr>
                <w:t>Advantages</w:t>
              </w:r>
            </w:ins>
          </w:p>
        </w:tc>
        <w:tc>
          <w:tcPr>
            <w:tcW w:w="4248" w:type="dxa"/>
            <w:shd w:val="clear" w:color="auto" w:fill="F2F2F2"/>
            <w:vAlign w:val="center"/>
          </w:tcPr>
          <w:p w14:paraId="4A5EC01B" w14:textId="77777777" w:rsidR="00935AD8" w:rsidRDefault="005559B2">
            <w:pPr>
              <w:pStyle w:val="ListParagraph"/>
              <w:ind w:left="0"/>
              <w:jc w:val="center"/>
              <w:rPr>
                <w:ins w:id="52" w:author="draft 38821 090 V2" w:date="2019-11-05T10:54:00Z"/>
                <w:rFonts w:cs="Arial"/>
                <w:b/>
              </w:rPr>
            </w:pPr>
            <w:ins w:id="53" w:author="draft 38821 090 V2" w:date="2019-11-05T10:54:00Z">
              <w:r>
                <w:rPr>
                  <w:rFonts w:cs="Arial"/>
                  <w:b/>
                </w:rPr>
                <w:t>Disadvantages</w:t>
              </w:r>
            </w:ins>
          </w:p>
        </w:tc>
      </w:tr>
      <w:tr w:rsidR="00935AD8" w14:paraId="68BC4F0D" w14:textId="77777777">
        <w:trPr>
          <w:ins w:id="54" w:author="draft 38821 090 V2" w:date="2019-11-05T10:54:00Z"/>
        </w:trPr>
        <w:tc>
          <w:tcPr>
            <w:tcW w:w="1572" w:type="dxa"/>
            <w:shd w:val="clear" w:color="auto" w:fill="auto"/>
            <w:vAlign w:val="center"/>
          </w:tcPr>
          <w:p w14:paraId="08469BAE" w14:textId="77777777" w:rsidR="00935AD8" w:rsidRDefault="005559B2">
            <w:pPr>
              <w:pStyle w:val="ListParagraph"/>
              <w:ind w:left="0"/>
              <w:jc w:val="center"/>
              <w:rPr>
                <w:ins w:id="55" w:author="draft 38821 090 V2" w:date="2019-11-05T10:54:00Z"/>
                <w:rFonts w:cs="Arial"/>
                <w:b/>
              </w:rPr>
            </w:pPr>
            <w:ins w:id="56" w:author="draft 38821 090 V2" w:date="2019-11-05T10:54:00Z">
              <w:r>
                <w:rPr>
                  <w:rFonts w:cs="Arial"/>
                  <w:b/>
                </w:rPr>
                <w:t>Measurement-based</w:t>
              </w:r>
            </w:ins>
          </w:p>
        </w:tc>
        <w:tc>
          <w:tcPr>
            <w:tcW w:w="3756" w:type="dxa"/>
            <w:shd w:val="clear" w:color="auto" w:fill="auto"/>
          </w:tcPr>
          <w:p w14:paraId="17CF2919" w14:textId="77777777" w:rsidR="00935AD8" w:rsidRDefault="005559B2">
            <w:pPr>
              <w:pStyle w:val="ListParagraph"/>
              <w:numPr>
                <w:ilvl w:val="0"/>
                <w:numId w:val="16"/>
              </w:numPr>
              <w:overflowPunct/>
              <w:autoSpaceDE/>
              <w:autoSpaceDN/>
              <w:adjustRightInd/>
              <w:spacing w:after="0"/>
              <w:contextualSpacing w:val="0"/>
              <w:textAlignment w:val="auto"/>
              <w:rPr>
                <w:ins w:id="57" w:author="draft 38821 090 V2" w:date="2019-11-05T10:54:00Z"/>
                <w:rFonts w:cs="Arial"/>
              </w:rPr>
            </w:pPr>
            <w:ins w:id="58" w:author="draft 38821 090 V2" w:date="2019-11-05T10:54:00Z">
              <w:r>
                <w:rPr>
                  <w:rFonts w:cs="Arial"/>
                </w:rPr>
                <w:t xml:space="preserve">Less specification impact (i.e. </w:t>
              </w:r>
              <w:proofErr w:type="gramStart"/>
              <w:r>
                <w:rPr>
                  <w:rFonts w:cs="Arial"/>
                </w:rPr>
                <w:t>similar to</w:t>
              </w:r>
              <w:proofErr w:type="gramEnd"/>
              <w:r>
                <w:rPr>
                  <w:rFonts w:cs="Arial"/>
                </w:rPr>
                <w:t xml:space="preserve"> terrestrial network);</w:t>
              </w:r>
            </w:ins>
          </w:p>
          <w:p w14:paraId="0168511E" w14:textId="77777777" w:rsidR="00935AD8" w:rsidRDefault="005559B2">
            <w:pPr>
              <w:pStyle w:val="ListParagraph"/>
              <w:numPr>
                <w:ilvl w:val="0"/>
                <w:numId w:val="16"/>
              </w:numPr>
              <w:overflowPunct/>
              <w:autoSpaceDE/>
              <w:autoSpaceDN/>
              <w:adjustRightInd/>
              <w:spacing w:after="0"/>
              <w:contextualSpacing w:val="0"/>
              <w:textAlignment w:val="auto"/>
              <w:rPr>
                <w:ins w:id="59" w:author="draft 38821 090 V2" w:date="2019-11-05T10:54:00Z"/>
                <w:rFonts w:cs="Arial"/>
              </w:rPr>
            </w:pPr>
            <w:ins w:id="60" w:author="draft 38821 090 V2" w:date="2019-11-05T10:54:00Z">
              <w:r>
                <w:rPr>
                  <w:rFonts w:cs="Arial"/>
                </w:rPr>
                <w:t>Is supported in Rel-16 mobility enhancements WI;</w:t>
              </w:r>
            </w:ins>
          </w:p>
          <w:p w14:paraId="19FCA5BF" w14:textId="77777777" w:rsidR="00935AD8" w:rsidRDefault="005559B2">
            <w:pPr>
              <w:pStyle w:val="ListParagraph"/>
              <w:numPr>
                <w:ilvl w:val="0"/>
                <w:numId w:val="16"/>
              </w:numPr>
              <w:overflowPunct/>
              <w:autoSpaceDE/>
              <w:autoSpaceDN/>
              <w:adjustRightInd/>
              <w:spacing w:after="0"/>
              <w:contextualSpacing w:val="0"/>
              <w:textAlignment w:val="auto"/>
              <w:rPr>
                <w:ins w:id="61" w:author="draft 38821 090 V2" w:date="2019-11-05T10:54:00Z"/>
                <w:rFonts w:cs="Arial"/>
              </w:rPr>
            </w:pPr>
            <w:ins w:id="62" w:author="draft 38821 090 V2" w:date="2019-11-05T10:54:00Z">
              <w:r>
                <w:rPr>
                  <w:rFonts w:cs="Arial"/>
                </w:rPr>
                <w:t>Relies on UE estimates and established channel estimation techniques;</w:t>
              </w:r>
            </w:ins>
          </w:p>
          <w:p w14:paraId="0C6F4C8F" w14:textId="77777777" w:rsidR="00935AD8" w:rsidRDefault="005559B2">
            <w:pPr>
              <w:pStyle w:val="ListParagraph"/>
              <w:numPr>
                <w:ilvl w:val="0"/>
                <w:numId w:val="16"/>
              </w:numPr>
              <w:overflowPunct/>
              <w:autoSpaceDE/>
              <w:autoSpaceDN/>
              <w:adjustRightInd/>
              <w:spacing w:after="0"/>
              <w:contextualSpacing w:val="0"/>
              <w:textAlignment w:val="auto"/>
              <w:rPr>
                <w:ins w:id="63" w:author="draft 38821 090 V2" w:date="2019-11-05T10:54:00Z"/>
                <w:rFonts w:cs="Arial"/>
              </w:rPr>
            </w:pPr>
            <w:ins w:id="64" w:author="draft 38821 090 V2" w:date="2019-11-05T10:54:00Z">
              <w:r>
                <w:rPr>
                  <w:rFonts w:cs="Arial"/>
                </w:rPr>
                <w:t>Is based on receiving power and cell quality.</w:t>
              </w:r>
            </w:ins>
          </w:p>
        </w:tc>
        <w:tc>
          <w:tcPr>
            <w:tcW w:w="4248" w:type="dxa"/>
            <w:shd w:val="clear" w:color="auto" w:fill="auto"/>
          </w:tcPr>
          <w:p w14:paraId="24D8C375" w14:textId="77777777" w:rsidR="00935AD8" w:rsidRDefault="005559B2">
            <w:pPr>
              <w:pStyle w:val="ListParagraph"/>
              <w:numPr>
                <w:ilvl w:val="0"/>
                <w:numId w:val="16"/>
              </w:numPr>
              <w:overflowPunct/>
              <w:autoSpaceDE/>
              <w:autoSpaceDN/>
              <w:adjustRightInd/>
              <w:spacing w:after="0"/>
              <w:contextualSpacing w:val="0"/>
              <w:textAlignment w:val="auto"/>
              <w:rPr>
                <w:ins w:id="65" w:author="draft 38821 090 V2" w:date="2019-11-05T10:54:00Z"/>
                <w:rFonts w:cs="Arial"/>
              </w:rPr>
            </w:pPr>
            <w:ins w:id="66" w:author="draft 38821 090 V2" w:date="2019-11-05T10:54:00Z">
              <w:r>
                <w:rPr>
                  <w:rFonts w:cs="Arial"/>
                </w:rPr>
                <w:t>Would require neighbouring cell lists, which may be difficult given the fast-moving nature of LEO satellites or under inconsistent/deviating cell coverage;</w:t>
              </w:r>
            </w:ins>
          </w:p>
          <w:p w14:paraId="2ACF35DC" w14:textId="7CE4B8D7" w:rsidR="00935AD8" w:rsidRDefault="005559B2">
            <w:pPr>
              <w:pStyle w:val="ListParagraph"/>
              <w:numPr>
                <w:ilvl w:val="0"/>
                <w:numId w:val="16"/>
              </w:numPr>
              <w:overflowPunct/>
              <w:autoSpaceDE/>
              <w:autoSpaceDN/>
              <w:adjustRightInd/>
              <w:spacing w:after="0"/>
              <w:contextualSpacing w:val="0"/>
              <w:textAlignment w:val="auto"/>
              <w:rPr>
                <w:ins w:id="67" w:author="draft 38821 090 V2" w:date="2019-11-05T10:54:00Z"/>
                <w:rFonts w:cs="Arial"/>
              </w:rPr>
            </w:pPr>
            <w:ins w:id="68" w:author="draft 38821 090 V2" w:date="2019-11-05T10:54:00Z">
              <w:r>
                <w:rPr>
                  <w:rFonts w:cs="Arial"/>
                </w:rPr>
                <w:t xml:space="preserve">Small RSRP/RSRQ </w:t>
              </w:r>
            </w:ins>
            <w:ins w:id="69" w:author="Ming-Hung Tao" w:date="2019-11-21T22:03:00Z">
              <w:r w:rsidR="00247B7A">
                <w:rPr>
                  <w:rFonts w:cs="Arial"/>
                </w:rPr>
                <w:t>variation</w:t>
              </w:r>
            </w:ins>
            <w:ins w:id="70" w:author="draft 38821 090 V2" w:date="2019-11-05T10:54:00Z">
              <w:r>
                <w:rPr>
                  <w:rFonts w:cs="Arial"/>
                </w:rPr>
                <w:t xml:space="preserve"> in regions of cell overlap and propagation delay may make measurement-based triggering (e.g. A3 events) unreliable;</w:t>
              </w:r>
            </w:ins>
          </w:p>
          <w:p w14:paraId="6A520CA7" w14:textId="77777777" w:rsidR="00935AD8" w:rsidRDefault="005559B2">
            <w:pPr>
              <w:pStyle w:val="ListParagraph"/>
              <w:numPr>
                <w:ilvl w:val="0"/>
                <w:numId w:val="16"/>
              </w:numPr>
              <w:overflowPunct/>
              <w:autoSpaceDE/>
              <w:autoSpaceDN/>
              <w:adjustRightInd/>
              <w:spacing w:after="0"/>
              <w:contextualSpacing w:val="0"/>
              <w:textAlignment w:val="auto"/>
              <w:rPr>
                <w:ins w:id="71" w:author="draft 38821 090 V2" w:date="2019-11-05T10:54:00Z"/>
                <w:rFonts w:cs="Arial"/>
              </w:rPr>
            </w:pPr>
            <w:ins w:id="72" w:author="draft 38821 090 V2" w:date="2019-11-05T10:54:00Z">
              <w:r>
                <w:rPr>
                  <w:rFonts w:cs="Arial"/>
                </w:rPr>
                <w:t>May be difficult to ensure UE performs handover to a specific country.</w:t>
              </w:r>
            </w:ins>
          </w:p>
        </w:tc>
      </w:tr>
      <w:tr w:rsidR="00935AD8" w14:paraId="1009BF41" w14:textId="77777777">
        <w:trPr>
          <w:ins w:id="73" w:author="draft 38821 090 V2" w:date="2019-11-05T10:54:00Z"/>
        </w:trPr>
        <w:tc>
          <w:tcPr>
            <w:tcW w:w="1572" w:type="dxa"/>
            <w:shd w:val="clear" w:color="auto" w:fill="auto"/>
            <w:vAlign w:val="center"/>
          </w:tcPr>
          <w:p w14:paraId="1B3188EE" w14:textId="77777777" w:rsidR="00935AD8" w:rsidRDefault="005559B2">
            <w:pPr>
              <w:pStyle w:val="ListParagraph"/>
              <w:ind w:left="0"/>
              <w:jc w:val="center"/>
              <w:rPr>
                <w:ins w:id="74" w:author="draft 38821 090 V2" w:date="2019-11-05T10:54:00Z"/>
                <w:rFonts w:cs="Arial"/>
                <w:b/>
              </w:rPr>
            </w:pPr>
            <w:ins w:id="75" w:author="draft 38821 090 V2" w:date="2019-11-05T10:54:00Z">
              <w:r>
                <w:rPr>
                  <w:rFonts w:cs="Arial"/>
                  <w:b/>
                </w:rPr>
                <w:t>Location-based</w:t>
              </w:r>
            </w:ins>
          </w:p>
        </w:tc>
        <w:tc>
          <w:tcPr>
            <w:tcW w:w="3756" w:type="dxa"/>
            <w:shd w:val="clear" w:color="auto" w:fill="auto"/>
          </w:tcPr>
          <w:p w14:paraId="565ED8D1" w14:textId="77777777" w:rsidR="00935AD8" w:rsidRDefault="005559B2">
            <w:pPr>
              <w:pStyle w:val="ListParagraph"/>
              <w:numPr>
                <w:ilvl w:val="0"/>
                <w:numId w:val="17"/>
              </w:numPr>
              <w:overflowPunct/>
              <w:autoSpaceDE/>
              <w:autoSpaceDN/>
              <w:adjustRightInd/>
              <w:spacing w:after="0"/>
              <w:contextualSpacing w:val="0"/>
              <w:textAlignment w:val="auto"/>
              <w:rPr>
                <w:ins w:id="76" w:author="draft 38821 090 V2" w:date="2019-11-05T10:54:00Z"/>
                <w:rFonts w:cs="Arial"/>
              </w:rPr>
            </w:pPr>
            <w:ins w:id="77" w:author="draft 38821 090 V2" w:date="2019-11-05T10:54:00Z">
              <w:r>
                <w:rPr>
                  <w:rFonts w:cs="Arial"/>
                </w:rPr>
                <w:t>Useful when cell boundaries are dispersed/undefined;</w:t>
              </w:r>
            </w:ins>
          </w:p>
          <w:p w14:paraId="0FB0B946" w14:textId="77777777" w:rsidR="00935AD8" w:rsidRDefault="005559B2">
            <w:pPr>
              <w:pStyle w:val="ListParagraph"/>
              <w:numPr>
                <w:ilvl w:val="0"/>
                <w:numId w:val="17"/>
              </w:numPr>
              <w:overflowPunct/>
              <w:autoSpaceDE/>
              <w:autoSpaceDN/>
              <w:adjustRightInd/>
              <w:spacing w:after="0"/>
              <w:contextualSpacing w:val="0"/>
              <w:textAlignment w:val="auto"/>
              <w:rPr>
                <w:ins w:id="78" w:author="draft 38821 090 V2" w:date="2019-11-05T10:54:00Z"/>
                <w:rFonts w:cs="Arial"/>
              </w:rPr>
            </w:pPr>
            <w:ins w:id="79" w:author="draft 38821 090 V2" w:date="2019-11-05T10:54:00Z">
              <w:r>
                <w:rPr>
                  <w:rFonts w:cs="Arial"/>
                </w:rPr>
                <w:t>Can enable mandatory HO based on UE location;</w:t>
              </w:r>
            </w:ins>
          </w:p>
          <w:p w14:paraId="09C062C3" w14:textId="77777777" w:rsidR="00935AD8" w:rsidRDefault="005559B2">
            <w:pPr>
              <w:pStyle w:val="ListParagraph"/>
              <w:numPr>
                <w:ilvl w:val="0"/>
                <w:numId w:val="17"/>
              </w:numPr>
              <w:overflowPunct/>
              <w:autoSpaceDE/>
              <w:autoSpaceDN/>
              <w:adjustRightInd/>
              <w:spacing w:after="0"/>
              <w:contextualSpacing w:val="0"/>
              <w:textAlignment w:val="auto"/>
              <w:rPr>
                <w:ins w:id="80" w:author="draft 38821 090 V2" w:date="2019-11-05T10:54:00Z"/>
                <w:rFonts w:cs="Arial"/>
              </w:rPr>
            </w:pPr>
            <w:ins w:id="81" w:author="draft 38821 090 V2" w:date="2019-11-05T10:54:00Z">
              <w:r>
                <w:rPr>
                  <w:rFonts w:cs="Arial"/>
                </w:rPr>
                <w:t>A precise trigger as UE location can be known with a degree of accuracy;</w:t>
              </w:r>
            </w:ins>
          </w:p>
          <w:p w14:paraId="34998C63" w14:textId="77777777" w:rsidR="00935AD8" w:rsidRDefault="005559B2">
            <w:pPr>
              <w:pStyle w:val="ListParagraph"/>
              <w:numPr>
                <w:ilvl w:val="0"/>
                <w:numId w:val="17"/>
              </w:numPr>
              <w:overflowPunct/>
              <w:autoSpaceDE/>
              <w:autoSpaceDN/>
              <w:adjustRightInd/>
              <w:spacing w:after="0"/>
              <w:contextualSpacing w:val="0"/>
              <w:textAlignment w:val="auto"/>
              <w:rPr>
                <w:ins w:id="82" w:author="draft 38821 090 V2" w:date="2019-11-05T10:54:00Z"/>
                <w:rFonts w:cs="Arial"/>
              </w:rPr>
            </w:pPr>
            <w:ins w:id="83" w:author="draft 38821 090 V2" w:date="2019-11-05T10:54:00Z">
              <w:r>
                <w:rPr>
                  <w:rFonts w:cs="Arial"/>
                </w:rPr>
                <w:t>Able to predict/pre-emptively configure triggering condition using satellite ephemeris and deterministic satellite movement;</w:t>
              </w:r>
            </w:ins>
          </w:p>
          <w:p w14:paraId="01AB78A0" w14:textId="77777777" w:rsidR="00935AD8" w:rsidRDefault="005559B2">
            <w:pPr>
              <w:pStyle w:val="ListParagraph"/>
              <w:numPr>
                <w:ilvl w:val="0"/>
                <w:numId w:val="17"/>
              </w:numPr>
              <w:overflowPunct/>
              <w:autoSpaceDE/>
              <w:autoSpaceDN/>
              <w:adjustRightInd/>
              <w:spacing w:after="0"/>
              <w:contextualSpacing w:val="0"/>
              <w:textAlignment w:val="auto"/>
              <w:rPr>
                <w:ins w:id="84" w:author="draft 38821 090 V2" w:date="2019-11-05T10:54:00Z"/>
                <w:rFonts w:cs="Arial"/>
              </w:rPr>
            </w:pPr>
            <w:ins w:id="85" w:author="draft 38821 090 V2" w:date="2019-11-05T10:54:00Z">
              <w:r>
                <w:rPr>
                  <w:rFonts w:cs="Arial"/>
                </w:rPr>
                <w:t>Would be useful to overcome issue of small RSRP/RSRQ variation in regions of cell overlap;</w:t>
              </w:r>
            </w:ins>
          </w:p>
          <w:p w14:paraId="5DAC023D" w14:textId="77777777" w:rsidR="00935AD8" w:rsidRDefault="005559B2">
            <w:pPr>
              <w:pStyle w:val="ListParagraph"/>
              <w:numPr>
                <w:ilvl w:val="0"/>
                <w:numId w:val="17"/>
              </w:numPr>
              <w:overflowPunct/>
              <w:autoSpaceDE/>
              <w:autoSpaceDN/>
              <w:adjustRightInd/>
              <w:spacing w:after="0"/>
              <w:contextualSpacing w:val="0"/>
              <w:textAlignment w:val="auto"/>
              <w:rPr>
                <w:rFonts w:cs="Arial"/>
              </w:rPr>
            </w:pPr>
            <w:ins w:id="86" w:author="draft 38821 090 V2" w:date="2019-11-05T10:54:00Z">
              <w:r>
                <w:rPr>
                  <w:rFonts w:cs="Arial"/>
                </w:rPr>
                <w:t>UE may need to perform fewer measurements for HO purposes.</w:t>
              </w:r>
            </w:ins>
          </w:p>
          <w:p w14:paraId="2A3F509E" w14:textId="344089D2" w:rsidR="002306EB" w:rsidRDefault="002306EB">
            <w:pPr>
              <w:pStyle w:val="ListParagraph"/>
              <w:numPr>
                <w:ilvl w:val="0"/>
                <w:numId w:val="17"/>
              </w:numPr>
              <w:overflowPunct/>
              <w:autoSpaceDE/>
              <w:autoSpaceDN/>
              <w:adjustRightInd/>
              <w:spacing w:after="0"/>
              <w:contextualSpacing w:val="0"/>
              <w:textAlignment w:val="auto"/>
              <w:rPr>
                <w:ins w:id="87" w:author="draft 38821 090 V2" w:date="2019-11-05T10:54:00Z"/>
                <w:rFonts w:cs="Arial"/>
              </w:rPr>
            </w:pPr>
            <w:ins w:id="88" w:author="Ericsson" w:date="2019-11-22T19:07:00Z">
              <w:r w:rsidRPr="00DE2F8C">
                <w:rPr>
                  <w:rFonts w:eastAsia="SimSun" w:cs="Arial"/>
                  <w:lang w:val="en-US"/>
                </w:rPr>
                <w:t>Since timing advance is der</w:t>
              </w:r>
              <w:r w:rsidRPr="002306EB">
                <w:rPr>
                  <w:rFonts w:eastAsia="SimSun" w:cs="Arial"/>
                  <w:lang w:val="en-US"/>
                </w:rPr>
                <w:t>ived based on the dis</w:t>
              </w:r>
              <w:r w:rsidRPr="00DE2F8C">
                <w:rPr>
                  <w:rFonts w:eastAsia="SimSun" w:cs="Arial"/>
                  <w:lang w:val="en-US"/>
                  <w:rPrChange w:id="89" w:author="ZTE" w:date="2019-11-21T12:04:00Z">
                    <w:rPr>
                      <w:rFonts w:eastAsia="SimSun" w:cs="Arial"/>
                      <w:lang w:val="en-US"/>
                    </w:rPr>
                  </w:rPrChange>
                </w:rPr>
                <w:t>tance between UE and the satellite, configuring the distance as a triggering condition directly can help reduce complexity and power consumption in the UE side in calculating the timing advance.</w:t>
              </w:r>
            </w:ins>
          </w:p>
        </w:tc>
        <w:tc>
          <w:tcPr>
            <w:tcW w:w="4248" w:type="dxa"/>
            <w:shd w:val="clear" w:color="auto" w:fill="auto"/>
          </w:tcPr>
          <w:p w14:paraId="5A04839B" w14:textId="77777777" w:rsidR="00935AD8" w:rsidRDefault="005559B2">
            <w:pPr>
              <w:pStyle w:val="ListParagraph"/>
              <w:numPr>
                <w:ilvl w:val="0"/>
                <w:numId w:val="17"/>
              </w:numPr>
              <w:overflowPunct/>
              <w:autoSpaceDE/>
              <w:autoSpaceDN/>
              <w:adjustRightInd/>
              <w:spacing w:after="0"/>
              <w:contextualSpacing w:val="0"/>
              <w:textAlignment w:val="auto"/>
              <w:rPr>
                <w:ins w:id="90" w:author="draft 38821 090 V2" w:date="2019-11-05T10:54:00Z"/>
                <w:rFonts w:cs="Arial"/>
              </w:rPr>
            </w:pPr>
            <w:ins w:id="91" w:author="draft 38821 090 V2" w:date="2019-11-05T10:54:00Z">
              <w:r>
                <w:rPr>
                  <w:rFonts w:cs="Arial"/>
                </w:rPr>
                <w:t>The UE may trigger HO to an unavailable cell (e.g. the NTN cell has deviated or is inconsistent, under varying channel conditions, or if the network sets the wrong triggering condition);</w:t>
              </w:r>
            </w:ins>
          </w:p>
          <w:p w14:paraId="7A39C9B7" w14:textId="77777777" w:rsidR="00935AD8" w:rsidRDefault="005559B2">
            <w:pPr>
              <w:pStyle w:val="ListParagraph"/>
              <w:numPr>
                <w:ilvl w:val="0"/>
                <w:numId w:val="17"/>
              </w:numPr>
              <w:overflowPunct/>
              <w:autoSpaceDE/>
              <w:autoSpaceDN/>
              <w:adjustRightInd/>
              <w:spacing w:after="0"/>
              <w:contextualSpacing w:val="0"/>
              <w:textAlignment w:val="auto"/>
              <w:rPr>
                <w:ins w:id="92" w:author="draft 38821 090 V2" w:date="2019-11-05T10:54:00Z"/>
                <w:rFonts w:cs="Arial"/>
              </w:rPr>
            </w:pPr>
            <w:ins w:id="93" w:author="draft 38821 090 V2" w:date="2019-11-05T10:54:00Z">
              <w:r>
                <w:rPr>
                  <w:rFonts w:cs="Arial"/>
                </w:rPr>
                <w:t>Some UEs may not have positioning capability.</w:t>
              </w:r>
            </w:ins>
          </w:p>
          <w:p w14:paraId="15FC6DB7" w14:textId="77777777" w:rsidR="00935AD8" w:rsidRDefault="005559B2">
            <w:pPr>
              <w:pStyle w:val="ListParagraph"/>
              <w:numPr>
                <w:ilvl w:val="0"/>
                <w:numId w:val="17"/>
              </w:numPr>
              <w:overflowPunct/>
              <w:autoSpaceDE/>
              <w:autoSpaceDN/>
              <w:adjustRightInd/>
              <w:spacing w:after="0"/>
              <w:contextualSpacing w:val="0"/>
              <w:textAlignment w:val="auto"/>
              <w:rPr>
                <w:ins w:id="94" w:author="draft 38821 090 V2" w:date="2019-11-05T10:54:00Z"/>
                <w:rFonts w:cs="Arial"/>
              </w:rPr>
            </w:pPr>
            <w:ins w:id="95" w:author="draft 38821 090 V2" w:date="2019-11-05T10:54:00Z">
              <w:r>
                <w:rPr>
                  <w:rFonts w:cs="Arial"/>
                </w:rPr>
                <w:t>UE must continuously track the satellites trajectory, and the network will need up-to-date UE location information which may introduce high overhead.</w:t>
              </w:r>
            </w:ins>
          </w:p>
        </w:tc>
      </w:tr>
      <w:tr w:rsidR="00935AD8" w14:paraId="7C81EAD6" w14:textId="77777777">
        <w:trPr>
          <w:ins w:id="96" w:author="draft 38821 090 V2" w:date="2019-11-05T10:54:00Z"/>
        </w:trPr>
        <w:tc>
          <w:tcPr>
            <w:tcW w:w="1572" w:type="dxa"/>
            <w:shd w:val="clear" w:color="auto" w:fill="auto"/>
            <w:vAlign w:val="center"/>
          </w:tcPr>
          <w:p w14:paraId="60FAD5D0" w14:textId="77777777" w:rsidR="00935AD8" w:rsidRDefault="005559B2">
            <w:pPr>
              <w:pStyle w:val="ListParagraph"/>
              <w:ind w:left="0"/>
              <w:jc w:val="center"/>
              <w:rPr>
                <w:ins w:id="97" w:author="draft 38821 090 V2" w:date="2019-11-05T10:54:00Z"/>
                <w:rFonts w:cs="Arial"/>
                <w:b/>
              </w:rPr>
            </w:pPr>
            <w:ins w:id="98" w:author="draft 38821 090 V2" w:date="2019-11-05T10:54:00Z">
              <w:r>
                <w:rPr>
                  <w:rFonts w:cs="Arial"/>
                  <w:b/>
                </w:rPr>
                <w:t>Time/Timer-based</w:t>
              </w:r>
            </w:ins>
          </w:p>
        </w:tc>
        <w:tc>
          <w:tcPr>
            <w:tcW w:w="3756" w:type="dxa"/>
            <w:shd w:val="clear" w:color="auto" w:fill="auto"/>
          </w:tcPr>
          <w:p w14:paraId="11E9650E" w14:textId="77777777" w:rsidR="00935AD8" w:rsidRDefault="005559B2">
            <w:pPr>
              <w:pStyle w:val="ListParagraph"/>
              <w:numPr>
                <w:ilvl w:val="0"/>
                <w:numId w:val="18"/>
              </w:numPr>
              <w:overflowPunct/>
              <w:autoSpaceDE/>
              <w:autoSpaceDN/>
              <w:adjustRightInd/>
              <w:spacing w:after="0"/>
              <w:contextualSpacing w:val="0"/>
              <w:textAlignment w:val="auto"/>
              <w:rPr>
                <w:ins w:id="99" w:author="draft 38821 090 V2" w:date="2019-11-05T10:54:00Z"/>
                <w:rFonts w:cs="Arial"/>
              </w:rPr>
            </w:pPr>
            <w:ins w:id="100" w:author="draft 38821 090 V2" w:date="2019-11-05T10:54:00Z">
              <w:r>
                <w:rPr>
                  <w:rFonts w:cs="Arial"/>
                </w:rPr>
                <w:t>Can be useful to maintain service continuity if UE loses terrestrial coverage;</w:t>
              </w:r>
            </w:ins>
          </w:p>
          <w:p w14:paraId="41D6916B" w14:textId="77777777" w:rsidR="00935AD8" w:rsidRDefault="005559B2">
            <w:pPr>
              <w:pStyle w:val="ListParagraph"/>
              <w:numPr>
                <w:ilvl w:val="0"/>
                <w:numId w:val="18"/>
              </w:numPr>
              <w:overflowPunct/>
              <w:autoSpaceDE/>
              <w:autoSpaceDN/>
              <w:adjustRightInd/>
              <w:spacing w:after="0"/>
              <w:contextualSpacing w:val="0"/>
              <w:textAlignment w:val="auto"/>
              <w:rPr>
                <w:ins w:id="101" w:author="draft 38821 090 V2" w:date="2019-11-05T10:54:00Z"/>
                <w:rFonts w:cs="Arial"/>
              </w:rPr>
            </w:pPr>
            <w:ins w:id="102" w:author="draft 38821 090 V2" w:date="2019-11-05T10:54:00Z">
              <w:r>
                <w:rPr>
                  <w:rFonts w:cs="Arial"/>
                </w:rPr>
                <w:t>Can enable mandatory HO based on timing;</w:t>
              </w:r>
            </w:ins>
          </w:p>
          <w:p w14:paraId="5F958CB6" w14:textId="77777777" w:rsidR="00935AD8" w:rsidRDefault="005559B2">
            <w:pPr>
              <w:pStyle w:val="ListParagraph"/>
              <w:numPr>
                <w:ilvl w:val="0"/>
                <w:numId w:val="18"/>
              </w:numPr>
              <w:overflowPunct/>
              <w:autoSpaceDE/>
              <w:autoSpaceDN/>
              <w:adjustRightInd/>
              <w:spacing w:after="0"/>
              <w:contextualSpacing w:val="0"/>
              <w:textAlignment w:val="auto"/>
              <w:rPr>
                <w:ins w:id="103" w:author="draft 38821 090 V2" w:date="2019-11-05T10:54:00Z"/>
                <w:rFonts w:cs="Arial"/>
              </w:rPr>
            </w:pPr>
            <w:ins w:id="104" w:author="draft 38821 090 V2" w:date="2019-11-05T10:54:00Z">
              <w:r>
                <w:rPr>
                  <w:rFonts w:cs="Arial"/>
                </w:rPr>
                <w:t>Network can configure different timing lengths to mitigate possible RACH congestion;</w:t>
              </w:r>
            </w:ins>
          </w:p>
          <w:p w14:paraId="07440FF7" w14:textId="77777777" w:rsidR="00935AD8" w:rsidRDefault="005559B2">
            <w:pPr>
              <w:pStyle w:val="ListParagraph"/>
              <w:numPr>
                <w:ilvl w:val="0"/>
                <w:numId w:val="18"/>
              </w:numPr>
              <w:overflowPunct/>
              <w:autoSpaceDE/>
              <w:autoSpaceDN/>
              <w:adjustRightInd/>
              <w:spacing w:after="0"/>
              <w:contextualSpacing w:val="0"/>
              <w:textAlignment w:val="auto"/>
              <w:rPr>
                <w:ins w:id="105" w:author="draft 38821 090 V2" w:date="2019-11-05T10:54:00Z"/>
                <w:rFonts w:cs="Arial"/>
              </w:rPr>
            </w:pPr>
            <w:ins w:id="106" w:author="draft 38821 090 V2" w:date="2019-11-05T10:54:00Z">
              <w:r>
                <w:rPr>
                  <w:rFonts w:cs="Arial"/>
                </w:rPr>
                <w:t>Can work with satellite ephemeris and exploit the deterministic movement of satellites;</w:t>
              </w:r>
            </w:ins>
          </w:p>
          <w:p w14:paraId="59253525" w14:textId="77777777" w:rsidR="00935AD8" w:rsidRDefault="005559B2">
            <w:pPr>
              <w:pStyle w:val="ListParagraph"/>
              <w:numPr>
                <w:ilvl w:val="0"/>
                <w:numId w:val="18"/>
              </w:numPr>
              <w:overflowPunct/>
              <w:autoSpaceDE/>
              <w:autoSpaceDN/>
              <w:adjustRightInd/>
              <w:spacing w:after="0"/>
              <w:contextualSpacing w:val="0"/>
              <w:textAlignment w:val="auto"/>
              <w:rPr>
                <w:ins w:id="107" w:author="draft 38821 090 V2" w:date="2019-11-05T10:54:00Z"/>
                <w:rFonts w:cs="Arial"/>
              </w:rPr>
            </w:pPr>
            <w:ins w:id="108" w:author="draft 38821 090 V2" w:date="2019-11-05T10:54:00Z">
              <w:r>
                <w:rPr>
                  <w:rFonts w:cs="Arial"/>
                </w:rPr>
                <w:t>UE may need to perform fewer measurements for HO purposes.</w:t>
              </w:r>
            </w:ins>
          </w:p>
        </w:tc>
        <w:tc>
          <w:tcPr>
            <w:tcW w:w="4248" w:type="dxa"/>
            <w:shd w:val="clear" w:color="auto" w:fill="auto"/>
          </w:tcPr>
          <w:p w14:paraId="0374B20C" w14:textId="77777777" w:rsidR="00935AD8" w:rsidRDefault="005559B2">
            <w:pPr>
              <w:pStyle w:val="ListParagraph"/>
              <w:numPr>
                <w:ilvl w:val="0"/>
                <w:numId w:val="18"/>
              </w:numPr>
              <w:overflowPunct/>
              <w:autoSpaceDE/>
              <w:autoSpaceDN/>
              <w:adjustRightInd/>
              <w:spacing w:after="0"/>
              <w:contextualSpacing w:val="0"/>
              <w:textAlignment w:val="auto"/>
              <w:rPr>
                <w:ins w:id="109" w:author="draft 38821 090 V2" w:date="2019-11-05T10:54:00Z"/>
                <w:rFonts w:cs="Arial"/>
              </w:rPr>
            </w:pPr>
            <w:ins w:id="110" w:author="draft 38821 090 V2" w:date="2019-11-05T10:54:00Z">
              <w:r>
                <w:rPr>
                  <w:rFonts w:cs="Arial"/>
                </w:rPr>
                <w:t>The UE may trigger HO to an unavailable cell (e.g. the NTN cell has deviated or is inconsistent, varying channel conditions, or if the network sets the wrong triggering condition);</w:t>
              </w:r>
            </w:ins>
          </w:p>
          <w:p w14:paraId="2EDF3586" w14:textId="77777777" w:rsidR="00935AD8" w:rsidRDefault="005559B2">
            <w:pPr>
              <w:pStyle w:val="ListParagraph"/>
              <w:numPr>
                <w:ilvl w:val="0"/>
                <w:numId w:val="18"/>
              </w:numPr>
              <w:overflowPunct/>
              <w:autoSpaceDE/>
              <w:autoSpaceDN/>
              <w:adjustRightInd/>
              <w:spacing w:after="0"/>
              <w:contextualSpacing w:val="0"/>
              <w:textAlignment w:val="auto"/>
              <w:rPr>
                <w:ins w:id="111" w:author="draft 38821 090 V2" w:date="2019-11-05T10:54:00Z"/>
                <w:rFonts w:cs="Arial"/>
              </w:rPr>
            </w:pPr>
            <w:ins w:id="112" w:author="draft 38821 090 V2" w:date="2019-11-05T10:54:00Z">
              <w:r>
                <w:rPr>
                  <w:rFonts w:cs="Arial"/>
                </w:rPr>
                <w:t>Depending on the accuracy of the ephemeris data and mobility of the UE, this may not be an accurate trigger which could, e.g. result in early/late HO;</w:t>
              </w:r>
            </w:ins>
          </w:p>
          <w:p w14:paraId="4415343D" w14:textId="77777777" w:rsidR="00935AD8" w:rsidRDefault="005559B2">
            <w:pPr>
              <w:pStyle w:val="ListParagraph"/>
              <w:numPr>
                <w:ilvl w:val="0"/>
                <w:numId w:val="18"/>
              </w:numPr>
              <w:overflowPunct/>
              <w:autoSpaceDE/>
              <w:autoSpaceDN/>
              <w:adjustRightInd/>
              <w:spacing w:after="0"/>
              <w:contextualSpacing w:val="0"/>
              <w:textAlignment w:val="auto"/>
              <w:rPr>
                <w:ins w:id="113" w:author="draft 38821 090 V2" w:date="2019-11-05T10:54:00Z"/>
                <w:rFonts w:cs="Arial"/>
              </w:rPr>
            </w:pPr>
            <w:ins w:id="114" w:author="draft 38821 090 V2" w:date="2019-11-05T10:54:00Z">
              <w:r>
                <w:rPr>
                  <w:rFonts w:cs="Arial"/>
                </w:rPr>
                <w:t>Maintaining multiple timers for every UE could introduce high overhead.</w:t>
              </w:r>
            </w:ins>
          </w:p>
        </w:tc>
      </w:tr>
      <w:tr w:rsidR="00935AD8" w14:paraId="7EBAC5B4" w14:textId="77777777">
        <w:trPr>
          <w:ins w:id="115" w:author="Ericsson(Helka)" w:date="2019-11-05T10:57:00Z"/>
        </w:trPr>
        <w:tc>
          <w:tcPr>
            <w:tcW w:w="1572" w:type="dxa"/>
            <w:shd w:val="clear" w:color="auto" w:fill="auto"/>
            <w:vAlign w:val="center"/>
          </w:tcPr>
          <w:p w14:paraId="1F1B1C6A" w14:textId="77777777" w:rsidR="00935AD8" w:rsidRDefault="005559B2">
            <w:pPr>
              <w:pStyle w:val="ListParagraph"/>
              <w:ind w:left="0"/>
              <w:jc w:val="center"/>
              <w:rPr>
                <w:ins w:id="116" w:author="Ericsson(Helka)" w:date="2019-11-05T10:57:00Z"/>
                <w:rFonts w:cs="Arial"/>
                <w:b/>
              </w:rPr>
            </w:pPr>
            <w:ins w:id="117" w:author="Ericsson(Helka)" w:date="2019-11-05T10:57:00Z">
              <w:r>
                <w:rPr>
                  <w:rFonts w:cs="Arial"/>
                  <w:b/>
                </w:rPr>
                <w:t xml:space="preserve">Timing advance </w:t>
              </w:r>
              <w:proofErr w:type="gramStart"/>
              <w:r>
                <w:rPr>
                  <w:rFonts w:cs="Arial"/>
                  <w:b/>
                </w:rPr>
                <w:t>value based</w:t>
              </w:r>
              <w:proofErr w:type="gramEnd"/>
              <w:r>
                <w:rPr>
                  <w:rFonts w:cs="Arial"/>
                  <w:b/>
                </w:rPr>
                <w:t xml:space="preserve"> triggering</w:t>
              </w:r>
            </w:ins>
          </w:p>
        </w:tc>
        <w:tc>
          <w:tcPr>
            <w:tcW w:w="3756" w:type="dxa"/>
            <w:shd w:val="clear" w:color="auto" w:fill="auto"/>
          </w:tcPr>
          <w:p w14:paraId="6E1DCDF8" w14:textId="77777777" w:rsidR="00935AD8" w:rsidRDefault="005559B2">
            <w:pPr>
              <w:pStyle w:val="ListParagraph"/>
              <w:numPr>
                <w:ilvl w:val="0"/>
                <w:numId w:val="18"/>
              </w:numPr>
              <w:overflowPunct/>
              <w:autoSpaceDE/>
              <w:autoSpaceDN/>
              <w:adjustRightInd/>
              <w:spacing w:after="0"/>
              <w:contextualSpacing w:val="0"/>
              <w:textAlignment w:val="auto"/>
              <w:rPr>
                <w:ins w:id="118" w:author="Ericsson(Helka)" w:date="2019-11-05T10:58:00Z"/>
                <w:rFonts w:cs="Arial"/>
              </w:rPr>
            </w:pPr>
            <w:ins w:id="119" w:author="Ericsson(Helka)" w:date="2019-11-05T10:58:00Z">
              <w:r>
                <w:rPr>
                  <w:rFonts w:cs="Arial"/>
                </w:rPr>
                <w:t xml:space="preserve">Timing advance based triggering fits well for the issue where UE needs to </w:t>
              </w:r>
              <w:proofErr w:type="spellStart"/>
              <w:r>
                <w:rPr>
                  <w:rFonts w:cs="Arial"/>
                </w:rPr>
                <w:t>precompensate</w:t>
              </w:r>
              <w:proofErr w:type="spellEnd"/>
              <w:r>
                <w:rPr>
                  <w:rFonts w:cs="Arial"/>
                </w:rPr>
                <w:t xml:space="preserve"> time when sending the RACH preamble in order the target cell to receive the preamble properly. </w:t>
              </w:r>
            </w:ins>
          </w:p>
          <w:p w14:paraId="08739D88" w14:textId="77777777" w:rsidR="00935AD8" w:rsidRDefault="005559B2">
            <w:pPr>
              <w:pStyle w:val="ListParagraph"/>
              <w:numPr>
                <w:ilvl w:val="0"/>
                <w:numId w:val="18"/>
              </w:numPr>
              <w:overflowPunct/>
              <w:autoSpaceDE/>
              <w:autoSpaceDN/>
              <w:adjustRightInd/>
              <w:spacing w:after="0"/>
              <w:contextualSpacing w:val="0"/>
              <w:textAlignment w:val="auto"/>
              <w:rPr>
                <w:ins w:id="120" w:author="Ericsson(Helka)" w:date="2019-11-05T10:57:00Z"/>
                <w:rFonts w:cs="Arial"/>
              </w:rPr>
            </w:pPr>
            <w:ins w:id="121" w:author="Ericsson(Helka)" w:date="2019-11-05T10:58:00Z">
              <w:r>
                <w:rPr>
                  <w:rFonts w:cs="Arial"/>
                </w:rPr>
                <w:lastRenderedPageBreak/>
                <w:t>Further, due to small difference to RSRP/RSRQ values between overlapping cells, timing advance based triggering may provide better accuracy for the triggering point.</w:t>
              </w:r>
            </w:ins>
          </w:p>
        </w:tc>
        <w:tc>
          <w:tcPr>
            <w:tcW w:w="4248" w:type="dxa"/>
            <w:shd w:val="clear" w:color="auto" w:fill="auto"/>
          </w:tcPr>
          <w:p w14:paraId="566F1663" w14:textId="77777777" w:rsidR="00935AD8" w:rsidRDefault="005559B2">
            <w:pPr>
              <w:pStyle w:val="ListParagraph"/>
              <w:numPr>
                <w:ilvl w:val="0"/>
                <w:numId w:val="18"/>
              </w:numPr>
              <w:overflowPunct/>
              <w:autoSpaceDE/>
              <w:autoSpaceDN/>
              <w:adjustRightInd/>
              <w:spacing w:after="0"/>
              <w:contextualSpacing w:val="0"/>
              <w:textAlignment w:val="auto"/>
              <w:rPr>
                <w:ins w:id="122" w:author="Ericsson(Helka)" w:date="2019-11-05T10:57:00Z"/>
                <w:rFonts w:cs="Arial"/>
              </w:rPr>
            </w:pPr>
            <w:ins w:id="123" w:author="Ericsson(Helka)" w:date="2019-11-05T10:58:00Z">
              <w:r>
                <w:rPr>
                  <w:rFonts w:cs="Arial"/>
                </w:rPr>
                <w:lastRenderedPageBreak/>
                <w:t>Requires GNSS capable UEs. Support for this needs to be explicitly added as not part of Rel-16.</w:t>
              </w:r>
            </w:ins>
          </w:p>
        </w:tc>
      </w:tr>
      <w:tr w:rsidR="00935AD8" w14:paraId="598FDC83" w14:textId="77777777">
        <w:trPr>
          <w:ins w:id="124" w:author="R2-1914739" w:date="2019-11-21T01:17:00Z"/>
        </w:trPr>
        <w:tc>
          <w:tcPr>
            <w:tcW w:w="1572" w:type="dxa"/>
            <w:shd w:val="clear" w:color="auto" w:fill="auto"/>
            <w:vAlign w:val="center"/>
          </w:tcPr>
          <w:p w14:paraId="728FD412" w14:textId="77777777" w:rsidR="00935AD8" w:rsidRDefault="005559B2">
            <w:pPr>
              <w:pStyle w:val="ListParagraph"/>
              <w:ind w:left="0"/>
              <w:jc w:val="center"/>
              <w:rPr>
                <w:ins w:id="125" w:author="R2-1914739" w:date="2019-11-21T01:17:00Z"/>
                <w:rFonts w:cs="Arial"/>
                <w:b/>
              </w:rPr>
            </w:pPr>
            <w:ins w:id="126" w:author="R2-1914739" w:date="2019-11-21T01:18:00Z">
              <w:r>
                <w:rPr>
                  <w:rFonts w:cs="Arial"/>
                  <w:b/>
                </w:rPr>
                <w:t xml:space="preserve">Elevation angles of source and target </w:t>
              </w:r>
              <w:proofErr w:type="gramStart"/>
              <w:r>
                <w:rPr>
                  <w:rFonts w:cs="Arial"/>
                  <w:b/>
                </w:rPr>
                <w:t>cells based</w:t>
              </w:r>
              <w:proofErr w:type="gramEnd"/>
              <w:r>
                <w:rPr>
                  <w:rFonts w:cs="Arial"/>
                  <w:b/>
                </w:rPr>
                <w:t xml:space="preserve"> triggering:</w:t>
              </w:r>
            </w:ins>
          </w:p>
        </w:tc>
        <w:tc>
          <w:tcPr>
            <w:tcW w:w="3756" w:type="dxa"/>
            <w:shd w:val="clear" w:color="auto" w:fill="auto"/>
          </w:tcPr>
          <w:p w14:paraId="12C7AA02" w14:textId="77777777" w:rsidR="00935AD8" w:rsidRDefault="005559B2">
            <w:pPr>
              <w:pStyle w:val="ListParagraph"/>
              <w:numPr>
                <w:ilvl w:val="0"/>
                <w:numId w:val="18"/>
              </w:numPr>
              <w:overflowPunct/>
              <w:autoSpaceDE/>
              <w:autoSpaceDN/>
              <w:adjustRightInd/>
              <w:spacing w:after="0"/>
              <w:contextualSpacing w:val="0"/>
              <w:textAlignment w:val="auto"/>
              <w:rPr>
                <w:ins w:id="127" w:author="R2-1914739" w:date="2019-11-21T01:17:00Z"/>
                <w:rFonts w:cs="Arial"/>
              </w:rPr>
            </w:pPr>
            <w:ins w:id="128" w:author="R2-1914739" w:date="2019-11-21T01:23:00Z">
              <w:r>
                <w:rPr>
                  <w:rFonts w:cs="Arial"/>
                </w:rPr>
                <w:t>Beneficial for handover regions that are irregular shaped</w:t>
              </w:r>
            </w:ins>
          </w:p>
        </w:tc>
        <w:tc>
          <w:tcPr>
            <w:tcW w:w="4248" w:type="dxa"/>
            <w:shd w:val="clear" w:color="auto" w:fill="auto"/>
          </w:tcPr>
          <w:p w14:paraId="10D1BEC2" w14:textId="77777777" w:rsidR="00935AD8" w:rsidRDefault="005559B2">
            <w:pPr>
              <w:pStyle w:val="ListParagraph"/>
              <w:numPr>
                <w:ilvl w:val="0"/>
                <w:numId w:val="18"/>
              </w:numPr>
              <w:overflowPunct/>
              <w:autoSpaceDE/>
              <w:autoSpaceDN/>
              <w:adjustRightInd/>
              <w:spacing w:after="0"/>
              <w:contextualSpacing w:val="0"/>
              <w:textAlignment w:val="auto"/>
              <w:rPr>
                <w:ins w:id="129" w:author="R2-1914739" w:date="2019-11-21T01:17:00Z"/>
                <w:rFonts w:cs="Arial"/>
              </w:rPr>
            </w:pPr>
            <w:ins w:id="130" w:author="R2-1914739" w:date="2019-11-21T01:23:00Z">
              <w:r>
                <w:rPr>
                  <w:rFonts w:cs="Arial"/>
                </w:rPr>
                <w:t>UE needs to evaluate elevation angle based on UE locat</w:t>
              </w:r>
            </w:ins>
            <w:ins w:id="131" w:author="R2-1914739" w:date="2019-11-21T01:24:00Z">
              <w:r>
                <w:rPr>
                  <w:rFonts w:cs="Arial"/>
                </w:rPr>
                <w:t>ion and satellite ephemeris data</w:t>
              </w:r>
            </w:ins>
          </w:p>
        </w:tc>
      </w:tr>
    </w:tbl>
    <w:p w14:paraId="7DC27B5D" w14:textId="77777777" w:rsidR="00935AD8" w:rsidRDefault="00935AD8">
      <w:bookmarkStart w:id="132" w:name="_GoBack"/>
      <w:bookmarkEnd w:id="132"/>
    </w:p>
    <w:p w14:paraId="2903A762" w14:textId="77777777" w:rsidR="00935AD8" w:rsidRDefault="00935AD8"/>
    <w:p w14:paraId="0C39132D" w14:textId="77777777" w:rsidR="00935AD8" w:rsidRDefault="00935AD8"/>
    <w:p w14:paraId="04A15E26" w14:textId="77777777" w:rsidR="00935AD8" w:rsidRDefault="00935AD8"/>
    <w:p w14:paraId="3DA57F24" w14:textId="77777777" w:rsidR="00935AD8" w:rsidRDefault="00935AD8"/>
    <w:p w14:paraId="110B6FC8" w14:textId="77777777" w:rsidR="00935AD8" w:rsidRDefault="00935AD8"/>
    <w:p w14:paraId="7ECC0E1D" w14:textId="77777777" w:rsidR="00935AD8" w:rsidRDefault="005559B2">
      <w:r>
        <w:t>-------------------------------end------------------------------------</w:t>
      </w:r>
    </w:p>
    <w:sectPr w:rsidR="00935AD8">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E4169" w14:textId="77777777" w:rsidR="00543FDF" w:rsidRDefault="00543FDF">
      <w:pPr>
        <w:spacing w:after="0" w:line="240" w:lineRule="auto"/>
      </w:pPr>
      <w:r>
        <w:separator/>
      </w:r>
    </w:p>
  </w:endnote>
  <w:endnote w:type="continuationSeparator" w:id="0">
    <w:p w14:paraId="6F6D5890" w14:textId="77777777" w:rsidR="00543FDF" w:rsidRDefault="0054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97C93" w14:textId="766354BF" w:rsidR="00935AD8" w:rsidRDefault="005559B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7B7A">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B7A">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F7898" w14:textId="77777777" w:rsidR="00543FDF" w:rsidRDefault="00543FDF">
      <w:pPr>
        <w:spacing w:after="0" w:line="240" w:lineRule="auto"/>
      </w:pPr>
      <w:r>
        <w:separator/>
      </w:r>
    </w:p>
  </w:footnote>
  <w:footnote w:type="continuationSeparator" w:id="0">
    <w:p w14:paraId="476CF8D1" w14:textId="77777777" w:rsidR="00543FDF" w:rsidRDefault="00543F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2ABC" w14:textId="77777777" w:rsidR="00935AD8" w:rsidRDefault="005559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D1F4341"/>
    <w:multiLevelType w:val="multilevel"/>
    <w:tmpl w:val="2D1F434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DE4BA7"/>
    <w:multiLevelType w:val="multilevel"/>
    <w:tmpl w:val="38DE4BA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55D3F86"/>
    <w:multiLevelType w:val="multilevel"/>
    <w:tmpl w:val="455D3F8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AE34D8"/>
    <w:multiLevelType w:val="multilevel"/>
    <w:tmpl w:val="59AE34D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67659CD"/>
    <w:multiLevelType w:val="multilevel"/>
    <w:tmpl w:val="767659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2"/>
  </w:num>
  <w:num w:numId="4">
    <w:abstractNumId w:val="7"/>
  </w:num>
  <w:num w:numId="5">
    <w:abstractNumId w:val="2"/>
  </w:num>
  <w:num w:numId="6">
    <w:abstractNumId w:val="6"/>
  </w:num>
  <w:num w:numId="7">
    <w:abstractNumId w:val="9"/>
  </w:num>
  <w:num w:numId="8">
    <w:abstractNumId w:val="5"/>
  </w:num>
  <w:num w:numId="9">
    <w:abstractNumId w:val="10"/>
  </w:num>
  <w:num w:numId="10">
    <w:abstractNumId w:val="11"/>
  </w:num>
  <w:num w:numId="11">
    <w:abstractNumId w:val="8"/>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raft 38821 090 V2">
    <w15:presenceInfo w15:providerId="None" w15:userId="draft 38821 090 V2"/>
  </w15:person>
  <w15:person w15:author="Raschkowski, Leszek">
    <w15:presenceInfo w15:providerId="None" w15:userId="Raschkowski, Leszek"/>
  </w15:person>
  <w15:person w15:author="Ming-Hung Tao">
    <w15:presenceInfo w15:providerId="AD" w15:userId="S-1-5-21-1078081533-1958367476-725345543-9177"/>
  </w15:person>
  <w15:person w15:author="Ericsson(Helka)">
    <w15:presenceInfo w15:providerId="None" w15:userId="Ericsson(Helka)"/>
  </w15:person>
  <w15:person w15:author="ZTE">
    <w15:presenceInfo w15:providerId="None" w15:userId="ZTE"/>
  </w15:person>
  <w15:person w15:author="R2-1916242 ">
    <w15:presenceInfo w15:providerId="None" w15:userId="R2-1916242 "/>
  </w15:person>
  <w15:person w15:author="R2-1914739">
    <w15:presenceInfo w15:providerId="None" w15:userId="R2-19147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320"/>
    <w:rsid w:val="000006E1"/>
    <w:rsid w:val="00000A6F"/>
    <w:rsid w:val="00000BD8"/>
    <w:rsid w:val="00000D7A"/>
    <w:rsid w:val="00001FE3"/>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5D6"/>
    <w:rsid w:val="00074945"/>
    <w:rsid w:val="00076385"/>
    <w:rsid w:val="000763AE"/>
    <w:rsid w:val="000774E8"/>
    <w:rsid w:val="00077E5F"/>
    <w:rsid w:val="0008036A"/>
    <w:rsid w:val="00081AE6"/>
    <w:rsid w:val="00082788"/>
    <w:rsid w:val="000855EB"/>
    <w:rsid w:val="00085981"/>
    <w:rsid w:val="000859A3"/>
    <w:rsid w:val="00085A4C"/>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2E22"/>
    <w:rsid w:val="000A56F2"/>
    <w:rsid w:val="000A5763"/>
    <w:rsid w:val="000A5FB1"/>
    <w:rsid w:val="000B13DA"/>
    <w:rsid w:val="000B2630"/>
    <w:rsid w:val="000B2719"/>
    <w:rsid w:val="000B2787"/>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1005FF"/>
    <w:rsid w:val="00102017"/>
    <w:rsid w:val="001024A3"/>
    <w:rsid w:val="00103313"/>
    <w:rsid w:val="00103336"/>
    <w:rsid w:val="00105EDE"/>
    <w:rsid w:val="001062FB"/>
    <w:rsid w:val="001063E6"/>
    <w:rsid w:val="001103D8"/>
    <w:rsid w:val="00113CF4"/>
    <w:rsid w:val="001143A5"/>
    <w:rsid w:val="001146AC"/>
    <w:rsid w:val="001148BA"/>
    <w:rsid w:val="001153EA"/>
    <w:rsid w:val="00115643"/>
    <w:rsid w:val="0011587D"/>
    <w:rsid w:val="00115A1C"/>
    <w:rsid w:val="00115CE1"/>
    <w:rsid w:val="00116219"/>
    <w:rsid w:val="00116765"/>
    <w:rsid w:val="00117203"/>
    <w:rsid w:val="00117C97"/>
    <w:rsid w:val="00120FE6"/>
    <w:rsid w:val="0012163A"/>
    <w:rsid w:val="001219F5"/>
    <w:rsid w:val="00121A20"/>
    <w:rsid w:val="001225F1"/>
    <w:rsid w:val="0012377F"/>
    <w:rsid w:val="00124314"/>
    <w:rsid w:val="001243E1"/>
    <w:rsid w:val="00125141"/>
    <w:rsid w:val="00126B4A"/>
    <w:rsid w:val="00126BB4"/>
    <w:rsid w:val="00130BB9"/>
    <w:rsid w:val="00132FD0"/>
    <w:rsid w:val="00133992"/>
    <w:rsid w:val="001344C0"/>
    <w:rsid w:val="001346FA"/>
    <w:rsid w:val="00135252"/>
    <w:rsid w:val="00135460"/>
    <w:rsid w:val="0013596E"/>
    <w:rsid w:val="00136DB4"/>
    <w:rsid w:val="00137AB5"/>
    <w:rsid w:val="00137F0B"/>
    <w:rsid w:val="00141392"/>
    <w:rsid w:val="00142EE2"/>
    <w:rsid w:val="00143029"/>
    <w:rsid w:val="00146746"/>
    <w:rsid w:val="00147923"/>
    <w:rsid w:val="00151E23"/>
    <w:rsid w:val="001526E0"/>
    <w:rsid w:val="001551B5"/>
    <w:rsid w:val="001554AB"/>
    <w:rsid w:val="00155D61"/>
    <w:rsid w:val="001569E3"/>
    <w:rsid w:val="00157A56"/>
    <w:rsid w:val="00157A6F"/>
    <w:rsid w:val="00157EFD"/>
    <w:rsid w:val="001659C1"/>
    <w:rsid w:val="001676C7"/>
    <w:rsid w:val="00172649"/>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ECF"/>
    <w:rsid w:val="00192A2A"/>
    <w:rsid w:val="001932F9"/>
    <w:rsid w:val="0019341A"/>
    <w:rsid w:val="00197DF9"/>
    <w:rsid w:val="001A078D"/>
    <w:rsid w:val="001A09D9"/>
    <w:rsid w:val="001A0CAB"/>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671F"/>
    <w:rsid w:val="001C74AC"/>
    <w:rsid w:val="001C7665"/>
    <w:rsid w:val="001D1261"/>
    <w:rsid w:val="001D30D1"/>
    <w:rsid w:val="001D51BA"/>
    <w:rsid w:val="001D6342"/>
    <w:rsid w:val="001D6866"/>
    <w:rsid w:val="001D6872"/>
    <w:rsid w:val="001D6D53"/>
    <w:rsid w:val="001D7CC8"/>
    <w:rsid w:val="001E0CB4"/>
    <w:rsid w:val="001E0E00"/>
    <w:rsid w:val="001E1691"/>
    <w:rsid w:val="001E3497"/>
    <w:rsid w:val="001E39A7"/>
    <w:rsid w:val="001E5501"/>
    <w:rsid w:val="001E58E2"/>
    <w:rsid w:val="001E5F81"/>
    <w:rsid w:val="001E6362"/>
    <w:rsid w:val="001E7AED"/>
    <w:rsid w:val="001F0AC5"/>
    <w:rsid w:val="001F27A8"/>
    <w:rsid w:val="001F330C"/>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2FA3"/>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6EB"/>
    <w:rsid w:val="00230765"/>
    <w:rsid w:val="002319E4"/>
    <w:rsid w:val="002320FF"/>
    <w:rsid w:val="00235632"/>
    <w:rsid w:val="00235872"/>
    <w:rsid w:val="00241115"/>
    <w:rsid w:val="00241559"/>
    <w:rsid w:val="002429B9"/>
    <w:rsid w:val="002435B3"/>
    <w:rsid w:val="002445DF"/>
    <w:rsid w:val="0024551B"/>
    <w:rsid w:val="00245813"/>
    <w:rsid w:val="002458EB"/>
    <w:rsid w:val="002460A1"/>
    <w:rsid w:val="002462A8"/>
    <w:rsid w:val="00247395"/>
    <w:rsid w:val="00247B7A"/>
    <w:rsid w:val="002500C8"/>
    <w:rsid w:val="00250982"/>
    <w:rsid w:val="0025121C"/>
    <w:rsid w:val="00255F20"/>
    <w:rsid w:val="00256025"/>
    <w:rsid w:val="00256492"/>
    <w:rsid w:val="00257543"/>
    <w:rsid w:val="00257613"/>
    <w:rsid w:val="002608F4"/>
    <w:rsid w:val="00261166"/>
    <w:rsid w:val="002617E7"/>
    <w:rsid w:val="002618A4"/>
    <w:rsid w:val="002632C0"/>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751"/>
    <w:rsid w:val="0028280A"/>
    <w:rsid w:val="00285F45"/>
    <w:rsid w:val="00286ACD"/>
    <w:rsid w:val="00286E8F"/>
    <w:rsid w:val="00287652"/>
    <w:rsid w:val="00287838"/>
    <w:rsid w:val="00287FD6"/>
    <w:rsid w:val="002907B5"/>
    <w:rsid w:val="0029228C"/>
    <w:rsid w:val="00292EB7"/>
    <w:rsid w:val="00293CDA"/>
    <w:rsid w:val="0029468E"/>
    <w:rsid w:val="00295710"/>
    <w:rsid w:val="00295CCB"/>
    <w:rsid w:val="00295F84"/>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2DB"/>
    <w:rsid w:val="002B6AFA"/>
    <w:rsid w:val="002C264A"/>
    <w:rsid w:val="002C41E6"/>
    <w:rsid w:val="002C4B7B"/>
    <w:rsid w:val="002C4EBE"/>
    <w:rsid w:val="002C57FD"/>
    <w:rsid w:val="002C6A6C"/>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5BE"/>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5FEC"/>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67E1"/>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97735"/>
    <w:rsid w:val="003A1117"/>
    <w:rsid w:val="003A2223"/>
    <w:rsid w:val="003A2A0F"/>
    <w:rsid w:val="003A2F39"/>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D6AD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3E74"/>
    <w:rsid w:val="00404F51"/>
    <w:rsid w:val="0040512B"/>
    <w:rsid w:val="00405CA5"/>
    <w:rsid w:val="0040732F"/>
    <w:rsid w:val="00407CD3"/>
    <w:rsid w:val="00410134"/>
    <w:rsid w:val="00410239"/>
    <w:rsid w:val="004104CC"/>
    <w:rsid w:val="0041066C"/>
    <w:rsid w:val="00410B72"/>
    <w:rsid w:val="00410F18"/>
    <w:rsid w:val="00411174"/>
    <w:rsid w:val="00411275"/>
    <w:rsid w:val="00411496"/>
    <w:rsid w:val="0041263E"/>
    <w:rsid w:val="00413AAC"/>
    <w:rsid w:val="00414785"/>
    <w:rsid w:val="00415426"/>
    <w:rsid w:val="004177D6"/>
    <w:rsid w:val="00417EAD"/>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560B"/>
    <w:rsid w:val="00436F58"/>
    <w:rsid w:val="00437447"/>
    <w:rsid w:val="00437787"/>
    <w:rsid w:val="00441A92"/>
    <w:rsid w:val="004424A0"/>
    <w:rsid w:val="00443E96"/>
    <w:rsid w:val="00444707"/>
    <w:rsid w:val="00444F56"/>
    <w:rsid w:val="00446488"/>
    <w:rsid w:val="00446C36"/>
    <w:rsid w:val="004471CB"/>
    <w:rsid w:val="004517AA"/>
    <w:rsid w:val="00452CAC"/>
    <w:rsid w:val="0045414B"/>
    <w:rsid w:val="00456930"/>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5E1A"/>
    <w:rsid w:val="004964F1"/>
    <w:rsid w:val="004A16BC"/>
    <w:rsid w:val="004A1873"/>
    <w:rsid w:val="004A2B94"/>
    <w:rsid w:val="004A2D82"/>
    <w:rsid w:val="004A535C"/>
    <w:rsid w:val="004A6E1F"/>
    <w:rsid w:val="004A7763"/>
    <w:rsid w:val="004B00DC"/>
    <w:rsid w:val="004B21F3"/>
    <w:rsid w:val="004B69B5"/>
    <w:rsid w:val="004B7B2A"/>
    <w:rsid w:val="004B7C0C"/>
    <w:rsid w:val="004B7F0E"/>
    <w:rsid w:val="004C0460"/>
    <w:rsid w:val="004C067B"/>
    <w:rsid w:val="004C068E"/>
    <w:rsid w:val="004C28BF"/>
    <w:rsid w:val="004C2DB9"/>
    <w:rsid w:val="004C3898"/>
    <w:rsid w:val="004C5E3B"/>
    <w:rsid w:val="004D03C6"/>
    <w:rsid w:val="004D36B1"/>
    <w:rsid w:val="004D43C6"/>
    <w:rsid w:val="004D4C00"/>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3BD4"/>
    <w:rsid w:val="00505DF7"/>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BCA"/>
    <w:rsid w:val="00537C62"/>
    <w:rsid w:val="00541CF9"/>
    <w:rsid w:val="00541F75"/>
    <w:rsid w:val="00542327"/>
    <w:rsid w:val="00543FDF"/>
    <w:rsid w:val="0054437F"/>
    <w:rsid w:val="00544437"/>
    <w:rsid w:val="00544B56"/>
    <w:rsid w:val="005461F3"/>
    <w:rsid w:val="00546970"/>
    <w:rsid w:val="00547C73"/>
    <w:rsid w:val="00547F37"/>
    <w:rsid w:val="00550394"/>
    <w:rsid w:val="00550BC9"/>
    <w:rsid w:val="005511CE"/>
    <w:rsid w:val="00553065"/>
    <w:rsid w:val="0055446B"/>
    <w:rsid w:val="005545D3"/>
    <w:rsid w:val="00554E19"/>
    <w:rsid w:val="005559B2"/>
    <w:rsid w:val="005560DB"/>
    <w:rsid w:val="0055642C"/>
    <w:rsid w:val="0055797B"/>
    <w:rsid w:val="0056121F"/>
    <w:rsid w:val="00562C98"/>
    <w:rsid w:val="0056316B"/>
    <w:rsid w:val="00563965"/>
    <w:rsid w:val="00566AE5"/>
    <w:rsid w:val="005673D9"/>
    <w:rsid w:val="00567473"/>
    <w:rsid w:val="0057096D"/>
    <w:rsid w:val="00570AC8"/>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065F"/>
    <w:rsid w:val="005A10F3"/>
    <w:rsid w:val="005A16B5"/>
    <w:rsid w:val="005A209A"/>
    <w:rsid w:val="005A40C4"/>
    <w:rsid w:val="005A6025"/>
    <w:rsid w:val="005A662D"/>
    <w:rsid w:val="005A6D28"/>
    <w:rsid w:val="005A703A"/>
    <w:rsid w:val="005A71C0"/>
    <w:rsid w:val="005A7375"/>
    <w:rsid w:val="005B35D7"/>
    <w:rsid w:val="005B392A"/>
    <w:rsid w:val="005B3AA3"/>
    <w:rsid w:val="005B591A"/>
    <w:rsid w:val="005B6F83"/>
    <w:rsid w:val="005B7E87"/>
    <w:rsid w:val="005B7F63"/>
    <w:rsid w:val="005C04A4"/>
    <w:rsid w:val="005C178F"/>
    <w:rsid w:val="005C41EC"/>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0648B"/>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4542"/>
    <w:rsid w:val="00655733"/>
    <w:rsid w:val="00655ACD"/>
    <w:rsid w:val="006563AF"/>
    <w:rsid w:val="00656A92"/>
    <w:rsid w:val="00656DDE"/>
    <w:rsid w:val="00657BE9"/>
    <w:rsid w:val="0066011D"/>
    <w:rsid w:val="006605C5"/>
    <w:rsid w:val="006607C0"/>
    <w:rsid w:val="00660A76"/>
    <w:rsid w:val="00661032"/>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D8C"/>
    <w:rsid w:val="006771F9"/>
    <w:rsid w:val="006776D7"/>
    <w:rsid w:val="00677D15"/>
    <w:rsid w:val="00681003"/>
    <w:rsid w:val="006817C9"/>
    <w:rsid w:val="006834D5"/>
    <w:rsid w:val="0068358E"/>
    <w:rsid w:val="00683ECE"/>
    <w:rsid w:val="00686175"/>
    <w:rsid w:val="006862F5"/>
    <w:rsid w:val="006873D2"/>
    <w:rsid w:val="00687F15"/>
    <w:rsid w:val="00687FFC"/>
    <w:rsid w:val="00690AF2"/>
    <w:rsid w:val="00694239"/>
    <w:rsid w:val="00694C14"/>
    <w:rsid w:val="00694C6D"/>
    <w:rsid w:val="00694FF7"/>
    <w:rsid w:val="006957AE"/>
    <w:rsid w:val="00695FC2"/>
    <w:rsid w:val="006963B5"/>
    <w:rsid w:val="00696949"/>
    <w:rsid w:val="00697052"/>
    <w:rsid w:val="006970C8"/>
    <w:rsid w:val="006A0902"/>
    <w:rsid w:val="006A1BD7"/>
    <w:rsid w:val="006A2F8A"/>
    <w:rsid w:val="006A41F3"/>
    <w:rsid w:val="006A423A"/>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6EAE"/>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5E"/>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27E5"/>
    <w:rsid w:val="0072519B"/>
    <w:rsid w:val="00725ABB"/>
    <w:rsid w:val="00725CC1"/>
    <w:rsid w:val="00726EA6"/>
    <w:rsid w:val="00727208"/>
    <w:rsid w:val="00727680"/>
    <w:rsid w:val="00730B3D"/>
    <w:rsid w:val="00732912"/>
    <w:rsid w:val="007348B1"/>
    <w:rsid w:val="00735CB0"/>
    <w:rsid w:val="007362A6"/>
    <w:rsid w:val="0073654B"/>
    <w:rsid w:val="00736D7D"/>
    <w:rsid w:val="00740E58"/>
    <w:rsid w:val="007416AE"/>
    <w:rsid w:val="00741A18"/>
    <w:rsid w:val="00741DF3"/>
    <w:rsid w:val="007423DF"/>
    <w:rsid w:val="00743A02"/>
    <w:rsid w:val="007445A0"/>
    <w:rsid w:val="00744E2D"/>
    <w:rsid w:val="0074524B"/>
    <w:rsid w:val="007458C9"/>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638"/>
    <w:rsid w:val="00775B19"/>
    <w:rsid w:val="00776971"/>
    <w:rsid w:val="00777E89"/>
    <w:rsid w:val="0078177E"/>
    <w:rsid w:val="007827BB"/>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71E"/>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8E1"/>
    <w:rsid w:val="007D5901"/>
    <w:rsid w:val="007D6701"/>
    <w:rsid w:val="007D7526"/>
    <w:rsid w:val="007E4610"/>
    <w:rsid w:val="007E4715"/>
    <w:rsid w:val="007E505B"/>
    <w:rsid w:val="007E69A1"/>
    <w:rsid w:val="007E7091"/>
    <w:rsid w:val="007F08AC"/>
    <w:rsid w:val="007F50C8"/>
    <w:rsid w:val="007F58F7"/>
    <w:rsid w:val="007F5F27"/>
    <w:rsid w:val="007F6C5B"/>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71D1"/>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4E68"/>
    <w:rsid w:val="008758D5"/>
    <w:rsid w:val="00875CD7"/>
    <w:rsid w:val="00876B4D"/>
    <w:rsid w:val="00877F18"/>
    <w:rsid w:val="008805A3"/>
    <w:rsid w:val="008836BA"/>
    <w:rsid w:val="00885631"/>
    <w:rsid w:val="00890D4B"/>
    <w:rsid w:val="00891C2D"/>
    <w:rsid w:val="00892F15"/>
    <w:rsid w:val="00893763"/>
    <w:rsid w:val="00894A88"/>
    <w:rsid w:val="00894EA9"/>
    <w:rsid w:val="00895386"/>
    <w:rsid w:val="008956A8"/>
    <w:rsid w:val="00896167"/>
    <w:rsid w:val="008A21FF"/>
    <w:rsid w:val="008A231F"/>
    <w:rsid w:val="008A2ACD"/>
    <w:rsid w:val="008A2CE2"/>
    <w:rsid w:val="008A30AC"/>
    <w:rsid w:val="008A42DD"/>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2FF5"/>
    <w:rsid w:val="008D3464"/>
    <w:rsid w:val="008D34F1"/>
    <w:rsid w:val="008D39D8"/>
    <w:rsid w:val="008D4032"/>
    <w:rsid w:val="008D4E20"/>
    <w:rsid w:val="008D6D1A"/>
    <w:rsid w:val="008D7E2F"/>
    <w:rsid w:val="008E065E"/>
    <w:rsid w:val="008E0927"/>
    <w:rsid w:val="008E1253"/>
    <w:rsid w:val="008E1909"/>
    <w:rsid w:val="008E4526"/>
    <w:rsid w:val="008E5BAB"/>
    <w:rsid w:val="008F0477"/>
    <w:rsid w:val="008F1EAB"/>
    <w:rsid w:val="008F2DC6"/>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5AD8"/>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059B"/>
    <w:rsid w:val="00961921"/>
    <w:rsid w:val="00962950"/>
    <w:rsid w:val="0096430A"/>
    <w:rsid w:val="009654B1"/>
    <w:rsid w:val="0096554B"/>
    <w:rsid w:val="0096556C"/>
    <w:rsid w:val="0096583D"/>
    <w:rsid w:val="0096584A"/>
    <w:rsid w:val="0096642E"/>
    <w:rsid w:val="00970AF0"/>
    <w:rsid w:val="009719DF"/>
    <w:rsid w:val="00971B30"/>
    <w:rsid w:val="00971F08"/>
    <w:rsid w:val="00975DC0"/>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5EED"/>
    <w:rsid w:val="009A7487"/>
    <w:rsid w:val="009A79DC"/>
    <w:rsid w:val="009B0860"/>
    <w:rsid w:val="009B0ABB"/>
    <w:rsid w:val="009B115C"/>
    <w:rsid w:val="009B1F30"/>
    <w:rsid w:val="009B260D"/>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E72F8"/>
    <w:rsid w:val="009F0724"/>
    <w:rsid w:val="009F08F3"/>
    <w:rsid w:val="009F1B73"/>
    <w:rsid w:val="009F1C08"/>
    <w:rsid w:val="009F1FFC"/>
    <w:rsid w:val="009F344F"/>
    <w:rsid w:val="009F43BD"/>
    <w:rsid w:val="009F4F02"/>
    <w:rsid w:val="00A01175"/>
    <w:rsid w:val="00A0152A"/>
    <w:rsid w:val="00A0177B"/>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38AC"/>
    <w:rsid w:val="00A45B74"/>
    <w:rsid w:val="00A45BA9"/>
    <w:rsid w:val="00A46702"/>
    <w:rsid w:val="00A51826"/>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4F2B"/>
    <w:rsid w:val="00A951B3"/>
    <w:rsid w:val="00A95608"/>
    <w:rsid w:val="00A9692C"/>
    <w:rsid w:val="00A97034"/>
    <w:rsid w:val="00AA016F"/>
    <w:rsid w:val="00AA0885"/>
    <w:rsid w:val="00AA1713"/>
    <w:rsid w:val="00AA1ED6"/>
    <w:rsid w:val="00AA1FB3"/>
    <w:rsid w:val="00AA2F2D"/>
    <w:rsid w:val="00AA41D3"/>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19BB"/>
    <w:rsid w:val="00AC2ECD"/>
    <w:rsid w:val="00AC3119"/>
    <w:rsid w:val="00AC4849"/>
    <w:rsid w:val="00AC49FB"/>
    <w:rsid w:val="00AC5A10"/>
    <w:rsid w:val="00AC663D"/>
    <w:rsid w:val="00AD00DE"/>
    <w:rsid w:val="00AD058E"/>
    <w:rsid w:val="00AD0AA3"/>
    <w:rsid w:val="00AD11C0"/>
    <w:rsid w:val="00AD1847"/>
    <w:rsid w:val="00AD3E48"/>
    <w:rsid w:val="00AD3F94"/>
    <w:rsid w:val="00AD4A5A"/>
    <w:rsid w:val="00AD4E8F"/>
    <w:rsid w:val="00AD675D"/>
    <w:rsid w:val="00AD7C79"/>
    <w:rsid w:val="00AE02A8"/>
    <w:rsid w:val="00AE04FA"/>
    <w:rsid w:val="00AE06C3"/>
    <w:rsid w:val="00AE1B0A"/>
    <w:rsid w:val="00AE27AC"/>
    <w:rsid w:val="00AE29F6"/>
    <w:rsid w:val="00AE3217"/>
    <w:rsid w:val="00AE33C2"/>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063EC"/>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6117"/>
    <w:rsid w:val="00B46175"/>
    <w:rsid w:val="00B467AB"/>
    <w:rsid w:val="00B52410"/>
    <w:rsid w:val="00B53718"/>
    <w:rsid w:val="00B55002"/>
    <w:rsid w:val="00B55E84"/>
    <w:rsid w:val="00B570E4"/>
    <w:rsid w:val="00B573CF"/>
    <w:rsid w:val="00B5776C"/>
    <w:rsid w:val="00B57F54"/>
    <w:rsid w:val="00B6165D"/>
    <w:rsid w:val="00B6188F"/>
    <w:rsid w:val="00B6205C"/>
    <w:rsid w:val="00B63782"/>
    <w:rsid w:val="00B641BA"/>
    <w:rsid w:val="00B644F6"/>
    <w:rsid w:val="00B6451C"/>
    <w:rsid w:val="00B65824"/>
    <w:rsid w:val="00B65BFD"/>
    <w:rsid w:val="00B664C7"/>
    <w:rsid w:val="00B70B40"/>
    <w:rsid w:val="00B71128"/>
    <w:rsid w:val="00B72FB1"/>
    <w:rsid w:val="00B739F6"/>
    <w:rsid w:val="00B7541B"/>
    <w:rsid w:val="00B75E73"/>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48ED"/>
    <w:rsid w:val="00BA5118"/>
    <w:rsid w:val="00BA56D2"/>
    <w:rsid w:val="00BA7227"/>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AAD"/>
    <w:rsid w:val="00BE4CA9"/>
    <w:rsid w:val="00BE52E5"/>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01C5"/>
    <w:rsid w:val="00C31AB5"/>
    <w:rsid w:val="00C3293F"/>
    <w:rsid w:val="00C3296B"/>
    <w:rsid w:val="00C3325C"/>
    <w:rsid w:val="00C36648"/>
    <w:rsid w:val="00C37143"/>
    <w:rsid w:val="00C3719D"/>
    <w:rsid w:val="00C41722"/>
    <w:rsid w:val="00C45D93"/>
    <w:rsid w:val="00C462C3"/>
    <w:rsid w:val="00C46451"/>
    <w:rsid w:val="00C47371"/>
    <w:rsid w:val="00C47598"/>
    <w:rsid w:val="00C47864"/>
    <w:rsid w:val="00C50BC0"/>
    <w:rsid w:val="00C510A7"/>
    <w:rsid w:val="00C517B8"/>
    <w:rsid w:val="00C530F7"/>
    <w:rsid w:val="00C53426"/>
    <w:rsid w:val="00C53FEB"/>
    <w:rsid w:val="00C54995"/>
    <w:rsid w:val="00C54D0D"/>
    <w:rsid w:val="00C54D41"/>
    <w:rsid w:val="00C54E10"/>
    <w:rsid w:val="00C56626"/>
    <w:rsid w:val="00C60783"/>
    <w:rsid w:val="00C618CC"/>
    <w:rsid w:val="00C626C3"/>
    <w:rsid w:val="00C64672"/>
    <w:rsid w:val="00C647A9"/>
    <w:rsid w:val="00C66C7E"/>
    <w:rsid w:val="00C67568"/>
    <w:rsid w:val="00C70697"/>
    <w:rsid w:val="00C72B7E"/>
    <w:rsid w:val="00C72EF4"/>
    <w:rsid w:val="00C73EE6"/>
    <w:rsid w:val="00C74998"/>
    <w:rsid w:val="00C7534A"/>
    <w:rsid w:val="00C759CA"/>
    <w:rsid w:val="00C75D2F"/>
    <w:rsid w:val="00C75E7D"/>
    <w:rsid w:val="00C76615"/>
    <w:rsid w:val="00C767BE"/>
    <w:rsid w:val="00C76E3C"/>
    <w:rsid w:val="00C81568"/>
    <w:rsid w:val="00C8210B"/>
    <w:rsid w:val="00C837CE"/>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30CE"/>
    <w:rsid w:val="00CE431F"/>
    <w:rsid w:val="00CE668E"/>
    <w:rsid w:val="00CE6A1A"/>
    <w:rsid w:val="00CE7561"/>
    <w:rsid w:val="00CF1354"/>
    <w:rsid w:val="00CF140B"/>
    <w:rsid w:val="00CF3B1F"/>
    <w:rsid w:val="00CF3BF6"/>
    <w:rsid w:val="00CF625B"/>
    <w:rsid w:val="00CF687E"/>
    <w:rsid w:val="00CF6BCC"/>
    <w:rsid w:val="00D001F9"/>
    <w:rsid w:val="00D017D2"/>
    <w:rsid w:val="00D021AA"/>
    <w:rsid w:val="00D0349B"/>
    <w:rsid w:val="00D1011E"/>
    <w:rsid w:val="00D10249"/>
    <w:rsid w:val="00D113CF"/>
    <w:rsid w:val="00D115C3"/>
    <w:rsid w:val="00D11897"/>
    <w:rsid w:val="00D11D7F"/>
    <w:rsid w:val="00D13135"/>
    <w:rsid w:val="00D13BD8"/>
    <w:rsid w:val="00D13E4E"/>
    <w:rsid w:val="00D141E1"/>
    <w:rsid w:val="00D16081"/>
    <w:rsid w:val="00D17A06"/>
    <w:rsid w:val="00D216B8"/>
    <w:rsid w:val="00D2341F"/>
    <w:rsid w:val="00D239A7"/>
    <w:rsid w:val="00D23F47"/>
    <w:rsid w:val="00D257DB"/>
    <w:rsid w:val="00D25C14"/>
    <w:rsid w:val="00D267A4"/>
    <w:rsid w:val="00D27297"/>
    <w:rsid w:val="00D31D5D"/>
    <w:rsid w:val="00D327FC"/>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222"/>
    <w:rsid w:val="00D569C1"/>
    <w:rsid w:val="00D576CA"/>
    <w:rsid w:val="00D57A3A"/>
    <w:rsid w:val="00D61AF5"/>
    <w:rsid w:val="00D628E6"/>
    <w:rsid w:val="00D62E22"/>
    <w:rsid w:val="00D62FAF"/>
    <w:rsid w:val="00D6315E"/>
    <w:rsid w:val="00D64FF9"/>
    <w:rsid w:val="00D652B5"/>
    <w:rsid w:val="00D65B74"/>
    <w:rsid w:val="00D66155"/>
    <w:rsid w:val="00D675E4"/>
    <w:rsid w:val="00D70791"/>
    <w:rsid w:val="00D708B0"/>
    <w:rsid w:val="00D708D0"/>
    <w:rsid w:val="00D71A45"/>
    <w:rsid w:val="00D743FC"/>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147D"/>
    <w:rsid w:val="00DA305E"/>
    <w:rsid w:val="00DA53CF"/>
    <w:rsid w:val="00DA5417"/>
    <w:rsid w:val="00DA56E8"/>
    <w:rsid w:val="00DA7061"/>
    <w:rsid w:val="00DB0A9F"/>
    <w:rsid w:val="00DB337C"/>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341"/>
    <w:rsid w:val="00DD5C77"/>
    <w:rsid w:val="00DD604D"/>
    <w:rsid w:val="00DD6770"/>
    <w:rsid w:val="00DE11D1"/>
    <w:rsid w:val="00DE175E"/>
    <w:rsid w:val="00DE2299"/>
    <w:rsid w:val="00DE2F8C"/>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23BF"/>
    <w:rsid w:val="00E04D2E"/>
    <w:rsid w:val="00E04DA4"/>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0D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3177"/>
    <w:rsid w:val="00E446F1"/>
    <w:rsid w:val="00E4568C"/>
    <w:rsid w:val="00E45C98"/>
    <w:rsid w:val="00E461C1"/>
    <w:rsid w:val="00E46770"/>
    <w:rsid w:val="00E46886"/>
    <w:rsid w:val="00E47AEF"/>
    <w:rsid w:val="00E47BBC"/>
    <w:rsid w:val="00E47E32"/>
    <w:rsid w:val="00E504FE"/>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8EC"/>
    <w:rsid w:val="00E762C7"/>
    <w:rsid w:val="00E76BE6"/>
    <w:rsid w:val="00E8060D"/>
    <w:rsid w:val="00E82140"/>
    <w:rsid w:val="00E821B9"/>
    <w:rsid w:val="00E8234C"/>
    <w:rsid w:val="00E830BA"/>
    <w:rsid w:val="00E83AA9"/>
    <w:rsid w:val="00E83D23"/>
    <w:rsid w:val="00E847AB"/>
    <w:rsid w:val="00E8565A"/>
    <w:rsid w:val="00E85928"/>
    <w:rsid w:val="00E86339"/>
    <w:rsid w:val="00E87822"/>
    <w:rsid w:val="00E8798A"/>
    <w:rsid w:val="00E900AB"/>
    <w:rsid w:val="00E90395"/>
    <w:rsid w:val="00E907A2"/>
    <w:rsid w:val="00E90E49"/>
    <w:rsid w:val="00E917F9"/>
    <w:rsid w:val="00E9291C"/>
    <w:rsid w:val="00E931D2"/>
    <w:rsid w:val="00E93FFE"/>
    <w:rsid w:val="00E94F8A"/>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C7C93"/>
    <w:rsid w:val="00ED1006"/>
    <w:rsid w:val="00ED163D"/>
    <w:rsid w:val="00ED1AFA"/>
    <w:rsid w:val="00ED2C65"/>
    <w:rsid w:val="00ED350E"/>
    <w:rsid w:val="00ED57B6"/>
    <w:rsid w:val="00EE05C0"/>
    <w:rsid w:val="00EE1F5C"/>
    <w:rsid w:val="00EE29AA"/>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6C3"/>
    <w:rsid w:val="00F24D59"/>
    <w:rsid w:val="00F25529"/>
    <w:rsid w:val="00F25CC0"/>
    <w:rsid w:val="00F27A14"/>
    <w:rsid w:val="00F27CC2"/>
    <w:rsid w:val="00F30828"/>
    <w:rsid w:val="00F31128"/>
    <w:rsid w:val="00F313D6"/>
    <w:rsid w:val="00F31CDA"/>
    <w:rsid w:val="00F360BB"/>
    <w:rsid w:val="00F3677A"/>
    <w:rsid w:val="00F36D15"/>
    <w:rsid w:val="00F371C7"/>
    <w:rsid w:val="00F377ED"/>
    <w:rsid w:val="00F400C5"/>
    <w:rsid w:val="00F4055C"/>
    <w:rsid w:val="00F40F0C"/>
    <w:rsid w:val="00F42053"/>
    <w:rsid w:val="00F42085"/>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3464"/>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B62"/>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 w:val="136D00FB"/>
    <w:rsid w:val="17F331D6"/>
    <w:rsid w:val="3EC73221"/>
    <w:rsid w:val="506C74CC"/>
    <w:rsid w:val="688244A4"/>
    <w:rsid w:val="6E8D2220"/>
    <w:rsid w:val="74B274C8"/>
    <w:rsid w:val="7ADC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51D548"/>
  <w15:docId w15:val="{FB39EB32-DFD8-4B05-85FB-949C94FF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lsdException w:name="page number" w:semiHidden="1"/>
    <w:lsdException w:name="Title" w:qFormat="1"/>
    <w:lsdException w:name="Default Paragraph Font" w:semiHidden="1"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pPr>
      <w:numPr>
        <w:numId w:val="7"/>
      </w:numPr>
    </w:pPr>
  </w:style>
  <w:style w:type="character" w:customStyle="1" w:styleId="Heading1Char">
    <w:name w:val="Heading 1 Char"/>
    <w:link w:val="Heading1"/>
    <w:rPr>
      <w:rFonts w:ascii="Arial" w:hAnsi="Arial" w:cs="Arial"/>
      <w:sz w:val="36"/>
      <w:szCs w:val="36"/>
      <w:lang w:val="en-GB" w:eastAsia="zh-CN"/>
    </w:rPr>
  </w:style>
  <w:style w:type="paragraph" w:customStyle="1" w:styleId="B1">
    <w:name w:val="B1"/>
    <w:basedOn w:val="List"/>
    <w:link w:val="B1Char1"/>
    <w:pPr>
      <w:spacing w:after="180"/>
      <w:jc w:val="left"/>
    </w:pPr>
    <w:rPr>
      <w:lang w:eastAsia="en-US"/>
    </w:rPr>
  </w:style>
  <w:style w:type="paragraph" w:customStyle="1" w:styleId="B2">
    <w:name w:val="B2"/>
    <w:basedOn w:val="List2"/>
    <w:link w:val="B2Char"/>
    <w:pPr>
      <w:spacing w:after="180"/>
      <w:jc w:val="left"/>
    </w:pPr>
    <w:rPr>
      <w:lang w:eastAsia="en-US"/>
    </w:rPr>
  </w:style>
  <w:style w:type="paragraph" w:customStyle="1" w:styleId="B3">
    <w:name w:val="B3"/>
    <w:basedOn w:val="List3"/>
    <w:link w:val="B3Char2"/>
    <w:pPr>
      <w:spacing w:after="180"/>
      <w:jc w:val="left"/>
    </w:pPr>
    <w:rPr>
      <w:lang w:eastAsia="en-US"/>
    </w:rPr>
  </w:style>
  <w:style w:type="paragraph" w:customStyle="1" w:styleId="B4">
    <w:name w:val="B4"/>
    <w:basedOn w:val="List4"/>
    <w:link w:val="B4Char"/>
    <w:pPr>
      <w:spacing w:after="180"/>
      <w:jc w:val="left"/>
    </w:pPr>
    <w:rPr>
      <w:lang w:eastAsia="en-US"/>
    </w:rPr>
  </w:style>
  <w:style w:type="paragraph" w:customStyle="1" w:styleId="Proposal">
    <w:name w:val="Proposal"/>
    <w:basedOn w:val="Normal"/>
    <w:pPr>
      <w:numPr>
        <w:numId w:val="8"/>
      </w:numPr>
      <w:tabs>
        <w:tab w:val="clear" w:pos="1304"/>
        <w:tab w:val="left" w:pos="1701"/>
      </w:tabs>
      <w:ind w:left="1701" w:hanging="1701"/>
    </w:pPr>
    <w:rPr>
      <w:b/>
      <w:bCs/>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Pr>
      <w:rFonts w:ascii="Arial" w:hAnsi="Arial"/>
      <w:spacing w:val="2"/>
      <w:lang w:val="en-GB" w:eastAsia="zh-CN"/>
    </w:rPr>
  </w:style>
  <w:style w:type="character" w:customStyle="1" w:styleId="B1Char1">
    <w:name w:val="B1 Char1"/>
    <w:link w:val="B1"/>
    <w:qFormat/>
    <w:rPr>
      <w:rFonts w:ascii="Arial" w:hAnsi="Arial"/>
      <w:lang w:val="en-GB"/>
    </w:rPr>
  </w:style>
  <w:style w:type="character" w:customStyle="1" w:styleId="B2Char">
    <w:name w:val="B2 Char"/>
    <w:link w:val="B2"/>
    <w:rPr>
      <w:rFonts w:ascii="Arial" w:hAnsi="Arial"/>
      <w:lang w:val="en-GB"/>
    </w:rPr>
  </w:style>
  <w:style w:type="character" w:customStyle="1" w:styleId="B3Char2">
    <w:name w:val="B3 Char2"/>
    <w:link w:val="B3"/>
    <w:rPr>
      <w:rFonts w:ascii="Arial" w:hAnsi="Arial"/>
      <w:lang w:val="en-GB"/>
    </w:rPr>
  </w:style>
  <w:style w:type="character" w:customStyle="1" w:styleId="B4Char">
    <w:name w:val="B4 Char"/>
    <w:link w:val="B4"/>
    <w:rPr>
      <w:rFonts w:ascii="Arial" w:hAnsi="Arial"/>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character" w:customStyle="1" w:styleId="PLChar">
    <w:name w:val="PL Char"/>
    <w:link w:val="PL"/>
    <w:qFormat/>
    <w:rPr>
      <w:rFonts w:ascii="Courier New" w:hAnsi="Courier New"/>
      <w:sz w:val="16"/>
      <w:lang w:val="sv-SE" w:eastAsia="sv-SE"/>
    </w:rPr>
  </w:style>
  <w:style w:type="character" w:customStyle="1" w:styleId="TALCar">
    <w:name w:val="TAL Car"/>
    <w:link w:val="TAL"/>
    <w:rPr>
      <w:rFonts w:ascii="Arial" w:hAnsi="Arial"/>
      <w:sz w:val="18"/>
      <w:lang w:val="en-GB"/>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rPr>
      <w:rFonts w:ascii="Arial" w:hAnsi="Arial"/>
      <w:lang w:eastAsia="zh-CN"/>
    </w:rPr>
  </w:style>
  <w:style w:type="paragraph" w:customStyle="1" w:styleId="NO">
    <w:name w:val="NO"/>
    <w:basedOn w:val="Normal"/>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Pr>
      <w:lang w:val="en-GB" w:eastAsia="en-US"/>
    </w:rPr>
  </w:style>
  <w:style w:type="paragraph" w:customStyle="1" w:styleId="CRCoverPage">
    <w:name w:val="CR Cover Page"/>
    <w:link w:val="CRCoverPageZchn"/>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rPr>
  </w:style>
  <w:style w:type="paragraph" w:customStyle="1" w:styleId="EmailDiscussion2">
    <w:name w:val="EmailDiscussion2"/>
    <w:basedOn w:val="Doc-text2"/>
    <w:qFormat/>
    <w:rPr>
      <w:rFonts w:cs="Arial"/>
    </w:rPr>
  </w:style>
  <w:style w:type="character" w:customStyle="1" w:styleId="EmailDiscussionChar">
    <w:name w:val="EmailDiscussion Char"/>
    <w:link w:val="EmailDiscussion"/>
    <w:locked/>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pPr>
      <w:numPr>
        <w:numId w:val="10"/>
      </w:numPr>
      <w:overflowPunct/>
      <w:autoSpaceDE/>
      <w:autoSpaceDN/>
      <w:adjustRightInd/>
      <w:spacing w:before="40" w:after="0"/>
      <w:jc w:val="left"/>
      <w:textAlignment w:val="auto"/>
    </w:pPr>
    <w:rPr>
      <w:rFonts w:eastAsia="MS Mincho" w:cs="Arial"/>
      <w:b/>
      <w:szCs w:val="24"/>
      <w:lang w:eastAsia="en-GB"/>
    </w:rPr>
  </w:style>
  <w:style w:type="paragraph" w:customStyle="1" w:styleId="Doc-title">
    <w:name w:val="Doc-title"/>
    <w:basedOn w:val="Normal"/>
    <w:next w:val="Normal"/>
    <w:link w:val="Doc-titleChar"/>
    <w:qFormat/>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THChar">
    <w:name w:val="TH Char"/>
    <w:link w:val="TH"/>
    <w:qFormat/>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538AB60-317F-42BC-9146-BCF1EC068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81062ae-1c68-41fd-9342-5dca09a94724"/>
    <ds:schemaRef ds:uri="http://purl.org/dc/terms/"/>
    <ds:schemaRef ds:uri="http://schemas.microsoft.com/office/2006/documentManagement/types"/>
    <ds:schemaRef ds:uri="http://schemas.openxmlformats.org/package/2006/metadata/core-properties"/>
    <ds:schemaRef ds:uri="936dff59-e130-4d54-8d0d-11652f5b7f6e"/>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5E923A78-89B7-4033-9A7E-E45F7B84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TotalTime>
  <Pages>5</Pages>
  <Words>1599</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9</cp:revision>
  <cp:lastPrinted>2018-03-21T11:00:00Z</cp:lastPrinted>
  <dcterms:created xsi:type="dcterms:W3CDTF">2019-11-22T17:02:00Z</dcterms:created>
  <dcterms:modified xsi:type="dcterms:W3CDTF">2019-11-22T17:08:00Z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3c675eef-6f83-4d46-9ab8-e93260bbf8c2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024">
    <vt:lpwstr>332</vt:lpwstr>
  </property>
  <property fmtid="{D5CDD505-2E9C-101B-9397-08002B2CF9AE}" pid="25" name="KSOProductBuildVer">
    <vt:lpwstr>2052-11.1.0.9175</vt:lpwstr>
  </property>
</Properties>
</file>